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098"/>
        <w:gridCol w:w="100"/>
        <w:gridCol w:w="8"/>
      </w:tblGrid>
      <w:tr w:rsidR="006D38E2" w14:paraId="6D8E2970" w14:textId="77777777" w:rsidTr="004B0FA0">
        <w:trPr>
          <w:trHeight w:val="340"/>
        </w:trPr>
        <w:tc>
          <w:tcPr>
            <w:tcW w:w="9918" w:type="dxa"/>
            <w:gridSpan w:val="5"/>
            <w:shd w:val="clear" w:color="auto" w:fill="651D32"/>
            <w:vAlign w:val="center"/>
          </w:tcPr>
          <w:p w14:paraId="2EB84079" w14:textId="77777777" w:rsidR="006D38E2" w:rsidRPr="006D38E2" w:rsidRDefault="006D38E2" w:rsidP="006F4B1F">
            <w:pPr>
              <w:pStyle w:val="Prrafodelista"/>
              <w:numPr>
                <w:ilvl w:val="0"/>
                <w:numId w:val="4"/>
              </w:numPr>
              <w:spacing w:after="0" w:line="276" w:lineRule="auto"/>
              <w:rPr>
                <w:b/>
                <w:bCs/>
              </w:rPr>
            </w:pPr>
            <w:r w:rsidRPr="006D38E2">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4"/>
            <w:shd w:val="clear" w:color="auto" w:fill="auto"/>
            <w:vAlign w:val="center"/>
          </w:tcPr>
          <w:p w14:paraId="6C77C4E8" w14:textId="758620B3" w:rsidR="00A70556" w:rsidRDefault="00A70556" w:rsidP="0034573D">
            <w:pPr>
              <w:spacing w:after="0" w:line="276" w:lineRule="auto"/>
            </w:pPr>
            <w:r w:rsidRPr="009C2562">
              <w:t xml:space="preserve">Evaluación </w:t>
            </w:r>
            <w:r w:rsidR="0034573D">
              <w:t>interna de Consistencia y Resultados (</w:t>
            </w:r>
            <w:proofErr w:type="spellStart"/>
            <w:r w:rsidR="0034573D">
              <w:t>ECyR</w:t>
            </w:r>
            <w:proofErr w:type="spellEnd"/>
            <w:r w:rsidR="0034573D">
              <w:t>)</w:t>
            </w:r>
          </w:p>
        </w:tc>
      </w:tr>
      <w:tr w:rsidR="00B861E0" w:rsidRPr="00A70556" w14:paraId="545E4A19" w14:textId="77777777" w:rsidTr="00A123E6">
        <w:trPr>
          <w:gridAfter w:val="2"/>
          <w:wAfter w:w="108" w:type="dxa"/>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098" w:type="dxa"/>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14:paraId="1D014C1E" w14:textId="77777777" w:rsidTr="00A123E6">
        <w:trPr>
          <w:gridAfter w:val="2"/>
          <w:wAfter w:w="108" w:type="dxa"/>
          <w:trHeight w:val="340"/>
        </w:trPr>
        <w:tc>
          <w:tcPr>
            <w:tcW w:w="4712" w:type="dxa"/>
            <w:gridSpan w:val="2"/>
            <w:shd w:val="clear" w:color="auto" w:fill="auto"/>
            <w:vAlign w:val="center"/>
          </w:tcPr>
          <w:p w14:paraId="404D8B68" w14:textId="77777777" w:rsidR="00B861E0" w:rsidRPr="004B0FA0" w:rsidRDefault="00B861E0" w:rsidP="00A123E6">
            <w:pPr>
              <w:spacing w:after="0" w:line="276" w:lineRule="auto"/>
              <w:jc w:val="center"/>
              <w:rPr>
                <w:b/>
                <w:bCs/>
              </w:rPr>
            </w:pPr>
            <w:r w:rsidRPr="004B0FA0">
              <w:t>12/08/2022</w:t>
            </w:r>
          </w:p>
        </w:tc>
        <w:tc>
          <w:tcPr>
            <w:tcW w:w="5098" w:type="dxa"/>
            <w:shd w:val="clear" w:color="auto" w:fill="auto"/>
            <w:vAlign w:val="center"/>
          </w:tcPr>
          <w:p w14:paraId="79E9E4F4" w14:textId="77777777" w:rsidR="00B861E0" w:rsidRPr="00A70556" w:rsidRDefault="00B861E0" w:rsidP="00A123E6">
            <w:pPr>
              <w:spacing w:after="0" w:line="276" w:lineRule="auto"/>
              <w:jc w:val="center"/>
              <w:rPr>
                <w:b/>
                <w:bCs/>
              </w:rPr>
            </w:pPr>
            <w:r w:rsidRPr="004B0FA0">
              <w:t>30/11/2022</w:t>
            </w:r>
          </w:p>
        </w:tc>
      </w:tr>
      <w:tr w:rsidR="00A70556" w14:paraId="6B7EC127" w14:textId="77777777" w:rsidTr="004B0FA0">
        <w:trPr>
          <w:trHeight w:val="340"/>
        </w:trPr>
        <w:tc>
          <w:tcPr>
            <w:tcW w:w="9918" w:type="dxa"/>
            <w:gridSpan w:val="5"/>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A70556" w:rsidRPr="003139E9" w14:paraId="37454C6A" w14:textId="77777777" w:rsidTr="00860D96">
        <w:trPr>
          <w:trHeight w:val="340"/>
        </w:trPr>
        <w:tc>
          <w:tcPr>
            <w:tcW w:w="9918" w:type="dxa"/>
            <w:gridSpan w:val="5"/>
            <w:shd w:val="clear" w:color="auto" w:fill="auto"/>
            <w:vAlign w:val="center"/>
          </w:tcPr>
          <w:p w14:paraId="78C4F704" w14:textId="11C07C59" w:rsidR="00A70556" w:rsidRPr="003139E9" w:rsidRDefault="00CC56BF" w:rsidP="00521401">
            <w:pPr>
              <w:pStyle w:val="Prrafodelista"/>
              <w:spacing w:after="0" w:line="276" w:lineRule="auto"/>
              <w:ind w:left="37"/>
              <w:jc w:val="both"/>
              <w:rPr>
                <w:bCs/>
              </w:rPr>
            </w:pPr>
            <w:r w:rsidRPr="00CC56BF">
              <w:rPr>
                <w:bCs/>
              </w:rPr>
              <w:t>Lic. Sergio Ernesto López Miranda, Coordinador de Programas</w:t>
            </w:r>
          </w:p>
        </w:tc>
      </w:tr>
      <w:tr w:rsidR="00A70556" w14:paraId="79DD6CAD" w14:textId="77777777" w:rsidTr="004B0FA0">
        <w:trPr>
          <w:gridAfter w:val="1"/>
          <w:wAfter w:w="8" w:type="dxa"/>
          <w:trHeight w:val="340"/>
        </w:trPr>
        <w:tc>
          <w:tcPr>
            <w:tcW w:w="9910" w:type="dxa"/>
            <w:gridSpan w:val="4"/>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6CE0B179" w:rsidR="00B920F2" w:rsidRDefault="0034573D" w:rsidP="00521401">
      <w:pPr>
        <w:pStyle w:val="Prrafodelista"/>
        <w:spacing w:after="0" w:line="276" w:lineRule="auto"/>
        <w:ind w:left="142"/>
        <w:jc w:val="both"/>
      </w:pPr>
      <w:r w:rsidRPr="000F3F9D">
        <w:t>Evaluar la consistencia y orientación a resultados</w:t>
      </w:r>
      <w:r>
        <w:t xml:space="preserve"> del programa </w:t>
      </w:r>
      <w:r w:rsidR="00CC56BF">
        <w:rPr>
          <w:b/>
        </w:rPr>
        <w:t>Desarrollo de las Comunidades Indígenas Sinaloenses</w:t>
      </w:r>
      <w:r w:rsidRPr="000F3F9D">
        <w:t xml:space="preserve"> en su ejercicio fiscal 2021, con la finalidad de proveer información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5D7B90A4" w14:textId="77777777" w:rsidR="0034573D" w:rsidRDefault="0034573D" w:rsidP="0034573D">
      <w:pPr>
        <w:pStyle w:val="Prrafodelista"/>
        <w:numPr>
          <w:ilvl w:val="0"/>
          <w:numId w:val="2"/>
        </w:numPr>
        <w:spacing w:after="0" w:line="276" w:lineRule="auto"/>
        <w:jc w:val="both"/>
      </w:pPr>
      <w:r>
        <w:t>Analizar la lógica y congruencia en el diseño del programa, su vinculación con la planeación sectorial, estatal y/o nacional, la consistencia entre el diseño y la normatividad aplicable, así como las posibles complementariedades y/o coincidencias con otros programas federales.</w:t>
      </w:r>
    </w:p>
    <w:p w14:paraId="6868D325" w14:textId="77777777" w:rsidR="0034573D" w:rsidRDefault="0034573D" w:rsidP="0034573D">
      <w:pPr>
        <w:pStyle w:val="Prrafodelista"/>
        <w:numPr>
          <w:ilvl w:val="0"/>
          <w:numId w:val="2"/>
        </w:numPr>
        <w:spacing w:after="0" w:line="276" w:lineRule="auto"/>
        <w:jc w:val="both"/>
      </w:pPr>
      <w:r>
        <w:t>Identificar si el programa cuenta con instrumentos de planeación y orientación hacia resultados.</w:t>
      </w:r>
    </w:p>
    <w:p w14:paraId="18791E0B" w14:textId="77777777" w:rsidR="0034573D" w:rsidRDefault="0034573D" w:rsidP="0034573D">
      <w:pPr>
        <w:pStyle w:val="Prrafodelista"/>
        <w:numPr>
          <w:ilvl w:val="0"/>
          <w:numId w:val="2"/>
        </w:numPr>
        <w:spacing w:after="0" w:line="276" w:lineRule="auto"/>
        <w:jc w:val="both"/>
      </w:pPr>
      <w:r>
        <w:t>Examinar si el programa ha definido una estrategia de cobertura de mediano y de largo plazo y los avances presentados en el ejercicio fiscal evaluado.</w:t>
      </w:r>
    </w:p>
    <w:p w14:paraId="7982392D" w14:textId="77777777" w:rsidR="0034573D" w:rsidRDefault="0034573D" w:rsidP="0034573D">
      <w:pPr>
        <w:pStyle w:val="Prrafodelista"/>
        <w:numPr>
          <w:ilvl w:val="0"/>
          <w:numId w:val="2"/>
        </w:numPr>
        <w:spacing w:after="0" w:line="276" w:lineRule="auto"/>
        <w:jc w:val="both"/>
      </w:pPr>
      <w:r>
        <w:t>Analizar los principales procesos establecidos en las ROP o en la normatividad aplicable; así como los sistemas de información con los que cuenta el programa y sus mecanismos de rendición de cuentas.</w:t>
      </w:r>
    </w:p>
    <w:p w14:paraId="13D8617F" w14:textId="77777777" w:rsidR="0034573D" w:rsidRDefault="0034573D" w:rsidP="0034573D">
      <w:pPr>
        <w:pStyle w:val="Prrafodelista"/>
        <w:numPr>
          <w:ilvl w:val="0"/>
          <w:numId w:val="2"/>
        </w:numPr>
        <w:spacing w:after="0" w:line="276" w:lineRule="auto"/>
        <w:jc w:val="both"/>
      </w:pPr>
      <w:r>
        <w:t>Identificar si el programa cuenta con instrumentos que le permitan recabar información para medir el grado de satisfacción de los beneficiarios del programa y sus resultados.</w:t>
      </w:r>
    </w:p>
    <w:p w14:paraId="2CCD5C65" w14:textId="6F20F936" w:rsidR="009B7088" w:rsidRDefault="0034573D" w:rsidP="0034573D">
      <w:pPr>
        <w:pStyle w:val="Prrafodelista"/>
        <w:numPr>
          <w:ilvl w:val="0"/>
          <w:numId w:val="2"/>
        </w:numPr>
        <w:spacing w:after="0" w:line="276" w:lineRule="auto"/>
        <w:jc w:val="both"/>
      </w:pPr>
      <w:r>
        <w:t>Examinar los resultados del programa respecto a la atención del problema para el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de 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78B80E14" w:rsidR="00581B4A" w:rsidRPr="00581B4A" w:rsidRDefault="0034573D" w:rsidP="00090637">
            <w:pPr>
              <w:spacing w:after="0" w:line="276" w:lineRule="auto"/>
              <w:jc w:val="center"/>
              <w:rPr>
                <w:b/>
                <w:bCs/>
              </w:rPr>
            </w:pPr>
            <w:r>
              <w:t>De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B0E54FE" w:rsidR="006D38E2" w:rsidRDefault="006D38E2" w:rsidP="006F4B1F">
      <w:pPr>
        <w:pStyle w:val="Prrafodelista"/>
        <w:numPr>
          <w:ilvl w:val="0"/>
          <w:numId w:val="3"/>
        </w:numPr>
        <w:spacing w:after="0" w:line="276" w:lineRule="auto"/>
        <w:ind w:left="567" w:hanging="219"/>
        <w:jc w:val="both"/>
        <w:sectPr w:rsidR="006D38E2" w:rsidSect="006047A9">
          <w:headerReference w:type="default" r:id="rId8"/>
          <w:footerReference w:type="default" r:id="rId9"/>
          <w:headerReference w:type="first" r:id="rId10"/>
          <w:footerReference w:type="first" r:id="rId11"/>
          <w:pgSz w:w="12240" w:h="15840"/>
          <w:pgMar w:top="1418" w:right="902" w:bottom="1134" w:left="1418" w:header="567" w:footer="264" w:gutter="0"/>
          <w:cols w:space="708"/>
          <w:titlePg/>
          <w:docGrid w:linePitch="360"/>
        </w:sectPr>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tbl>
      <w:tblPr>
        <w:tblStyle w:val="Tablaconcuadrcula"/>
        <w:tblW w:w="0" w:type="auto"/>
        <w:tblLook w:val="04A0" w:firstRow="1" w:lastRow="0" w:firstColumn="1" w:lastColumn="0" w:noHBand="0" w:noVBand="1"/>
      </w:tblPr>
      <w:tblGrid>
        <w:gridCol w:w="9910"/>
      </w:tblGrid>
      <w:tr w:rsidR="00823754" w14:paraId="62347B8F" w14:textId="77777777" w:rsidTr="00A165BB">
        <w:trPr>
          <w:trHeight w:val="340"/>
          <w:tblHeader/>
        </w:trPr>
        <w:tc>
          <w:tcPr>
            <w:tcW w:w="9910" w:type="dxa"/>
            <w:tcBorders>
              <w:top w:val="nil"/>
              <w:left w:val="nil"/>
              <w:bottom w:val="nil"/>
              <w:right w:val="nil"/>
            </w:tcBorders>
            <w:shd w:val="clear" w:color="auto" w:fill="651D32"/>
            <w:vAlign w:val="center"/>
          </w:tcPr>
          <w:p w14:paraId="01EFA909" w14:textId="77777777" w:rsidR="00823754" w:rsidRDefault="00823754" w:rsidP="006F4B1F">
            <w:pPr>
              <w:pStyle w:val="Prrafodelista"/>
              <w:numPr>
                <w:ilvl w:val="0"/>
                <w:numId w:val="4"/>
              </w:numPr>
              <w:spacing w:after="0" w:line="276" w:lineRule="auto"/>
              <w:jc w:val="both"/>
            </w:pPr>
            <w:r w:rsidRPr="00823754">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2FB33F9A" w14:textId="77777777" w:rsidR="00D73919" w:rsidRDefault="00D73919" w:rsidP="00D73919">
      <w:pPr>
        <w:ind w:left="708"/>
      </w:pPr>
      <w:r>
        <w:t>El programa Desarrollo de las Comunidades Indígenas Sinaloenses es operado por la COPACIS y fue creado en el año 1998. El objetivo general del programa es la promoción y gestión de diversos apoyos al sector indígena y fomentar la coordinación institucional con los diferentes niveles de gobierno, con el fin de contribuir para el mejoramiento de las condicionales de la vida dentro de las comunidades indígenas de Sinaloa, y la preservación de los diversos pueblos indígenas.</w:t>
      </w:r>
    </w:p>
    <w:p w14:paraId="0A9BC300" w14:textId="77777777" w:rsidR="00D73919" w:rsidRDefault="00D73919" w:rsidP="00D73919">
      <w:pPr>
        <w:ind w:left="708"/>
      </w:pPr>
      <w:r>
        <w:t>A través de estos objetivos el programa se encuentra alineado al PED Sinaloa 2017 – 2021, dentro del Eje estratégico II, “</w:t>
      </w:r>
      <w:r w:rsidRPr="00440C0D">
        <w:rPr>
          <w:i/>
        </w:rPr>
        <w:t>Desarrollo humano y social</w:t>
      </w:r>
      <w:r>
        <w:t>”, tema 1 “</w:t>
      </w:r>
      <w:r>
        <w:rPr>
          <w:i/>
        </w:rPr>
        <w:t>Desarrollo social</w:t>
      </w:r>
      <w:r>
        <w:t>”.</w:t>
      </w:r>
    </w:p>
    <w:p w14:paraId="1494987E" w14:textId="77777777" w:rsidR="00D73919" w:rsidRDefault="00D73919" w:rsidP="00D73919">
      <w:pPr>
        <w:ind w:left="708"/>
      </w:pPr>
      <w:r>
        <w:t>Asimismo, el programa se encuentra vinculado al siguiente objetivo y sus estrategias:</w:t>
      </w:r>
    </w:p>
    <w:p w14:paraId="23AAC3CF" w14:textId="77777777" w:rsidR="00D73919" w:rsidRDefault="00D73919" w:rsidP="00D73919">
      <w:pPr>
        <w:pStyle w:val="Prrafodelista"/>
        <w:numPr>
          <w:ilvl w:val="0"/>
          <w:numId w:val="35"/>
        </w:numPr>
        <w:spacing w:after="200" w:line="360" w:lineRule="auto"/>
        <w:jc w:val="both"/>
      </w:pPr>
      <w:r w:rsidRPr="00D366C1">
        <w:rPr>
          <w:i/>
          <w:iCs/>
        </w:rPr>
        <w:t>Objetivo 1.</w:t>
      </w:r>
      <w:r w:rsidRPr="00440C0D">
        <w:t xml:space="preserve"> </w:t>
      </w:r>
      <w:r>
        <w:t>Lograr el que el 100% de la población sinaloense que vive en comunidades de bajo índice de desarrollo humano, mediano o alto grado de marg1nac1ón sin derechohab1enc1a a instituciones de salud, reciba la cobertura de acciones integrales en salud.</w:t>
      </w:r>
    </w:p>
    <w:p w14:paraId="6926B237" w14:textId="77777777" w:rsidR="00D73919" w:rsidRDefault="00D73919" w:rsidP="00D73919">
      <w:pPr>
        <w:pStyle w:val="Prrafodelista"/>
        <w:numPr>
          <w:ilvl w:val="0"/>
          <w:numId w:val="35"/>
        </w:numPr>
        <w:spacing w:after="200" w:line="360" w:lineRule="auto"/>
        <w:jc w:val="both"/>
      </w:pPr>
      <w:r w:rsidRPr="00D366C1">
        <w:rPr>
          <w:i/>
          <w:iCs/>
        </w:rPr>
        <w:t>Estrategia 1.1.</w:t>
      </w:r>
      <w:r w:rsidRPr="00440C0D">
        <w:t xml:space="preserve"> </w:t>
      </w:r>
      <w:r>
        <w:t>Reorientar los procesos de atención otorgados a través de Unidades Médicas móviles para lograr una cobertura efectiva al 100% de las comunidades con criterios de inclusión.</w:t>
      </w:r>
    </w:p>
    <w:p w14:paraId="0C8FD5E7" w14:textId="77777777" w:rsidR="00D73919" w:rsidRDefault="00D73919" w:rsidP="00D73919">
      <w:pPr>
        <w:ind w:left="708"/>
      </w:pPr>
      <w:r>
        <w:t>Actividades que lleva a cabo el programa:</w:t>
      </w:r>
    </w:p>
    <w:p w14:paraId="050DC44E" w14:textId="77777777" w:rsidR="00D73919" w:rsidRDefault="00D73919" w:rsidP="00D73919">
      <w:pPr>
        <w:pStyle w:val="Prrafodelista"/>
        <w:numPr>
          <w:ilvl w:val="0"/>
          <w:numId w:val="34"/>
        </w:numPr>
        <w:spacing w:after="200" w:line="360" w:lineRule="auto"/>
        <w:ind w:left="1068"/>
        <w:jc w:val="both"/>
      </w:pPr>
      <w:r>
        <w:t>Gestión de la entrega de apoyos a centros ceremoniales reconocidos por el Gobierno del Estado.</w:t>
      </w:r>
    </w:p>
    <w:p w14:paraId="7C309F73" w14:textId="77777777" w:rsidR="00D73919" w:rsidRDefault="00D73919" w:rsidP="00D73919">
      <w:pPr>
        <w:pStyle w:val="Prrafodelista"/>
        <w:numPr>
          <w:ilvl w:val="0"/>
          <w:numId w:val="34"/>
        </w:numPr>
        <w:spacing w:after="200" w:line="360" w:lineRule="auto"/>
        <w:ind w:left="1068"/>
        <w:jc w:val="both"/>
      </w:pPr>
      <w:r>
        <w:t>Gestión de la entrega de apoyos para la realización de festividades tradicionales.</w:t>
      </w:r>
    </w:p>
    <w:p w14:paraId="70620B0A" w14:textId="77777777" w:rsidR="00D73919" w:rsidRDefault="00D73919" w:rsidP="00D73919">
      <w:pPr>
        <w:pStyle w:val="Prrafodelista"/>
        <w:numPr>
          <w:ilvl w:val="0"/>
          <w:numId w:val="34"/>
        </w:numPr>
        <w:spacing w:after="200" w:line="360" w:lineRule="auto"/>
        <w:ind w:left="1068"/>
        <w:jc w:val="both"/>
      </w:pPr>
      <w:r>
        <w:t xml:space="preserve">Gestión de la entrega de apoyos de despensas alimenticias de granos básicos (maíz, frijol y arroz), lámina galvanizada y colchonetas o cobijas, para los grupos vulnerables indígenas de la zona serrana de los municipios de El Fuerte, </w:t>
      </w:r>
      <w:proofErr w:type="spellStart"/>
      <w:r>
        <w:t>Choix</w:t>
      </w:r>
      <w:proofErr w:type="spellEnd"/>
      <w:r>
        <w:t xml:space="preserve"> y Sinaloa.</w:t>
      </w:r>
    </w:p>
    <w:p w14:paraId="0307932F" w14:textId="77777777" w:rsidR="00D73919" w:rsidRPr="00C32CC0" w:rsidRDefault="00D73919" w:rsidP="00D73919">
      <w:pPr>
        <w:ind w:left="708"/>
        <w:jc w:val="both"/>
      </w:pPr>
      <w:r w:rsidRPr="00C32CC0">
        <w:t xml:space="preserve">Se expidió la Ley de los Derechos de los Pueblos y Comunidades Indígenas para el Estado de Sinaloa, la cual, tiene por objeto, la protección, preservación y promoción del desarrollo de los pueblos y comunidades indígenas; así como de sus lenguas, o parte de ellas, y que han construido una cultura que los identifica internamente diferenciándolos del resto de la población de la entidad. Así mismo, conservan sus propias instituciones sociales, económicas, culturales y políticas, o parte de ellas, así como el pluralismo de sistemas jurídicos propios. </w:t>
      </w:r>
    </w:p>
    <w:p w14:paraId="54A61AD6" w14:textId="77777777" w:rsidR="00D73919" w:rsidRPr="00C32CC0" w:rsidRDefault="00D73919" w:rsidP="00D73919">
      <w:pPr>
        <w:ind w:left="708"/>
        <w:jc w:val="both"/>
      </w:pPr>
      <w:r w:rsidRPr="00C32CC0">
        <w:t>Asimismo, se expidió la Ley que establece el Catálogo de Pueblos y Comunidades Indígenas del Estado de Sinaloa, donde se determina como calcular la población indígena residente en una localidad o pueblo; en los métodos se consideran los más recientes censos y/o conteos de población que realiza el Instituto Nacional de Estadística y Geografía, y para el reconocimiento de las prácticas culturales de una localidad o población, se requiere de un estudio antropológico o sociológico realizado por especialistas de la Comisión Nacional para el Desarrollo de los Pueblos Indígenas, del Instituto Nacional de Antropología e Historia o de cualquier otra institución de prestigio académico.</w:t>
      </w:r>
    </w:p>
    <w:p w14:paraId="03605665" w14:textId="77777777" w:rsidR="00D73919" w:rsidRPr="00C32CC0" w:rsidRDefault="00D73919" w:rsidP="00D73919">
      <w:pPr>
        <w:ind w:left="708"/>
        <w:jc w:val="both"/>
      </w:pPr>
      <w:r w:rsidRPr="00C32CC0">
        <w:lastRenderedPageBreak/>
        <w:t xml:space="preserve">De igual manera, el programa considera la Ley del Instituto Nacional de los Pueblos Indígenas, donde se tiene por objeto definir, normar, diseñar, establecer, ejecutar, orientar, coordinar, promover, dar seguimiento y evaluar las políticas, programas, proyectos, estrategias y acciones públicas, para garantizar el ejercicio y la implementación de los derechos de los pueblos indígenas y </w:t>
      </w:r>
      <w:proofErr w:type="spellStart"/>
      <w:r w:rsidRPr="00C32CC0">
        <w:t>afromexicano</w:t>
      </w:r>
      <w:proofErr w:type="spellEnd"/>
      <w:r w:rsidRPr="00C32CC0">
        <w:t>, así como su desarrollo integral y sostenible y el fortalecimiento de sus culturas e identidades.</w:t>
      </w:r>
    </w:p>
    <w:p w14:paraId="21DF1239" w14:textId="2A9AF1C6" w:rsidR="00D73919" w:rsidRPr="00C32CC0" w:rsidRDefault="00D73919" w:rsidP="00D73919">
      <w:pPr>
        <w:ind w:left="708"/>
        <w:jc w:val="both"/>
      </w:pPr>
      <w:r w:rsidRPr="00C32CC0">
        <w:t>Además, en el PSS 2017 – 2021 derivado del PED Sinaloa 2017 – 2021, se establece que el objetivo del programa es “</w:t>
      </w:r>
      <w:r w:rsidRPr="00D73919">
        <w:rPr>
          <w:i/>
        </w:rPr>
        <w:t>Lograr el que el 100% de la población sinaloense que vive en comunidades de bajo índice de desarrollo humano, mediano o alto grado de marg1nac1ón sin derechohab1enc1a a instituciones de salud, reciba la cobertura de acciones integrales en salud</w:t>
      </w:r>
      <w:r w:rsidRPr="00C32CC0">
        <w:t>” a través de la estrategia “</w:t>
      </w:r>
      <w:r w:rsidRPr="00D73919">
        <w:rPr>
          <w:i/>
        </w:rPr>
        <w:t>Reorientar los procesos de atención otorgados a través de Unidades Médicas móviles para lograr una cobertura efectiva al 100 % de las comunidades con criterios de inclusión</w:t>
      </w:r>
      <w:r w:rsidRPr="00C32CC0">
        <w:t>”, lo anterior, alineado al instrumento 4.1 “</w:t>
      </w:r>
      <w:r w:rsidRPr="00D73919">
        <w:rPr>
          <w:i/>
        </w:rPr>
        <w:t>Fortalecer los servicios de promoción y atención brindados a la población ind</w:t>
      </w:r>
      <w:r>
        <w:rPr>
          <w:i/>
        </w:rPr>
        <w:t>í</w:t>
      </w:r>
      <w:r w:rsidRPr="00D73919">
        <w:rPr>
          <w:i/>
        </w:rPr>
        <w:t>gena y otros grupos en s</w:t>
      </w:r>
      <w:r>
        <w:rPr>
          <w:i/>
        </w:rPr>
        <w:t>ituaci</w:t>
      </w:r>
      <w:r w:rsidRPr="00D73919">
        <w:rPr>
          <w:i/>
        </w:rPr>
        <w:t>ón de vulnerabilidad</w:t>
      </w:r>
      <w:r w:rsidRPr="00C32CC0">
        <w:t>” de la política 4 “A</w:t>
      </w:r>
      <w:r w:rsidRPr="00D73919">
        <w:rPr>
          <w:i/>
        </w:rPr>
        <w:t>tención a la salud dirigida a poblaciones con criterios de vulnerabilidad</w:t>
      </w:r>
      <w:r w:rsidRPr="00C32CC0">
        <w:t>”.</w:t>
      </w:r>
    </w:p>
    <w:p w14:paraId="1C2F8636" w14:textId="340259A4" w:rsidR="00D73919" w:rsidRDefault="00D73919" w:rsidP="00D73919">
      <w:pPr>
        <w:ind w:left="708"/>
        <w:jc w:val="both"/>
      </w:pPr>
      <w:r w:rsidRPr="00C32CC0">
        <w:t>El objetivo del programa es la población indígena del Estado de Sinaloa, en el ejercicio 2021 fueron 11,391 personas. En lo registrado en el ejercicio 2021, se captaron a 5,457 personas atendidas, con lo que se alcanzó una cobertura del 47.9% de población; cabe señalar que la planeación de la cobertura está enfocada a 246 comunidades indígenas que se encuentran en el Catalogo de la Ley que establece el Catálogo de Pueblos y Comunidades Indígenas del Estado de Sinaloa.</w:t>
      </w:r>
    </w:p>
    <w:p w14:paraId="5935CB08" w14:textId="77777777" w:rsidR="00D73919" w:rsidRPr="00C32CC0" w:rsidRDefault="00D73919" w:rsidP="00D73919">
      <w:pPr>
        <w:spacing w:after="0" w:line="240" w:lineRule="auto"/>
        <w:ind w:left="708"/>
        <w:jc w:val="both"/>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1408"/>
        <w:gridCol w:w="1559"/>
        <w:gridCol w:w="1559"/>
      </w:tblGrid>
      <w:tr w:rsidR="00D73919" w:rsidRPr="00C32CC0" w14:paraId="5C15C702" w14:textId="77777777" w:rsidTr="00BF1458">
        <w:trPr>
          <w:trHeight w:val="680"/>
          <w:jc w:val="center"/>
        </w:trPr>
        <w:tc>
          <w:tcPr>
            <w:tcW w:w="1843" w:type="dxa"/>
            <w:shd w:val="clear" w:color="auto" w:fill="651D32"/>
            <w:vAlign w:val="center"/>
          </w:tcPr>
          <w:p w14:paraId="3B0F4798" w14:textId="10116068" w:rsidR="00D73919" w:rsidRPr="00C32CC0" w:rsidRDefault="00D73919" w:rsidP="00BF1458">
            <w:pPr>
              <w:spacing w:after="0" w:line="240" w:lineRule="auto"/>
              <w:jc w:val="center"/>
            </w:pPr>
            <w:r w:rsidRPr="00C32CC0">
              <w:br w:type="page"/>
            </w:r>
            <w:r w:rsidRPr="00C32CC0">
              <w:rPr>
                <w:b/>
                <w:bCs/>
                <w:sz w:val="20"/>
              </w:rPr>
              <w:t>Tipo de población</w:t>
            </w:r>
          </w:p>
        </w:tc>
        <w:tc>
          <w:tcPr>
            <w:tcW w:w="1408" w:type="dxa"/>
            <w:shd w:val="clear" w:color="auto" w:fill="651D32"/>
            <w:vAlign w:val="center"/>
          </w:tcPr>
          <w:p w14:paraId="543A7499" w14:textId="77777777" w:rsidR="00D73919" w:rsidRPr="00C32CC0" w:rsidRDefault="00D73919" w:rsidP="00BF1458">
            <w:pPr>
              <w:spacing w:after="0" w:line="240" w:lineRule="auto"/>
              <w:jc w:val="center"/>
            </w:pPr>
            <w:r w:rsidRPr="00C32CC0">
              <w:rPr>
                <w:b/>
                <w:bCs/>
                <w:sz w:val="20"/>
              </w:rPr>
              <w:t>Unidad de medida</w:t>
            </w:r>
          </w:p>
        </w:tc>
        <w:tc>
          <w:tcPr>
            <w:tcW w:w="1559" w:type="dxa"/>
            <w:shd w:val="clear" w:color="auto" w:fill="651D32"/>
            <w:vAlign w:val="center"/>
          </w:tcPr>
          <w:p w14:paraId="6197FE60" w14:textId="77777777" w:rsidR="00D73919" w:rsidRPr="00C32CC0" w:rsidRDefault="00D73919" w:rsidP="00BF1458">
            <w:pPr>
              <w:spacing w:after="0" w:line="240" w:lineRule="auto"/>
              <w:jc w:val="center"/>
            </w:pPr>
            <w:r w:rsidRPr="00C32CC0">
              <w:rPr>
                <w:b/>
                <w:bCs/>
                <w:sz w:val="20"/>
              </w:rPr>
              <w:t>2020</w:t>
            </w:r>
          </w:p>
        </w:tc>
        <w:tc>
          <w:tcPr>
            <w:tcW w:w="1559" w:type="dxa"/>
            <w:shd w:val="clear" w:color="auto" w:fill="651D32"/>
            <w:vAlign w:val="center"/>
          </w:tcPr>
          <w:p w14:paraId="1F069F30" w14:textId="77777777" w:rsidR="00D73919" w:rsidRPr="00C32CC0" w:rsidRDefault="00D73919" w:rsidP="00BF1458">
            <w:pPr>
              <w:spacing w:after="0" w:line="240" w:lineRule="auto"/>
              <w:jc w:val="center"/>
            </w:pPr>
            <w:r w:rsidRPr="00C32CC0">
              <w:rPr>
                <w:b/>
                <w:bCs/>
                <w:sz w:val="20"/>
              </w:rPr>
              <w:t>2021</w:t>
            </w:r>
          </w:p>
        </w:tc>
      </w:tr>
      <w:tr w:rsidR="00D73919" w:rsidRPr="00C32CC0" w14:paraId="6D8AB6CF" w14:textId="77777777" w:rsidTr="00BF1458">
        <w:trPr>
          <w:trHeight w:val="510"/>
          <w:jc w:val="center"/>
        </w:trPr>
        <w:tc>
          <w:tcPr>
            <w:tcW w:w="1843" w:type="dxa"/>
            <w:vAlign w:val="center"/>
          </w:tcPr>
          <w:p w14:paraId="4A807802" w14:textId="77777777" w:rsidR="00D73919" w:rsidRPr="00C32CC0" w:rsidRDefault="00D73919" w:rsidP="00BF1458">
            <w:pPr>
              <w:spacing w:after="0" w:line="240" w:lineRule="auto"/>
              <w:jc w:val="center"/>
            </w:pPr>
            <w:r w:rsidRPr="00C32CC0">
              <w:rPr>
                <w:sz w:val="20"/>
              </w:rPr>
              <w:t>Potencial</w:t>
            </w:r>
          </w:p>
        </w:tc>
        <w:tc>
          <w:tcPr>
            <w:tcW w:w="1408" w:type="dxa"/>
            <w:vAlign w:val="center"/>
          </w:tcPr>
          <w:p w14:paraId="3D88CE3A" w14:textId="77777777" w:rsidR="00D73919" w:rsidRPr="00C32CC0" w:rsidRDefault="00D73919" w:rsidP="00BF1458">
            <w:pPr>
              <w:spacing w:after="0" w:line="240" w:lineRule="auto"/>
              <w:jc w:val="center"/>
            </w:pPr>
            <w:r w:rsidRPr="00C32CC0">
              <w:rPr>
                <w:sz w:val="20"/>
              </w:rPr>
              <w:t>Número</w:t>
            </w:r>
          </w:p>
        </w:tc>
        <w:tc>
          <w:tcPr>
            <w:tcW w:w="1559" w:type="dxa"/>
            <w:vAlign w:val="center"/>
          </w:tcPr>
          <w:p w14:paraId="445C5752" w14:textId="77777777" w:rsidR="00D73919" w:rsidRPr="00C32CC0" w:rsidRDefault="00D73919" w:rsidP="00BF1458">
            <w:pPr>
              <w:spacing w:after="0" w:line="240" w:lineRule="auto"/>
              <w:jc w:val="center"/>
            </w:pPr>
            <w:r w:rsidRPr="00C32CC0">
              <w:t>56,784</w:t>
            </w:r>
          </w:p>
        </w:tc>
        <w:tc>
          <w:tcPr>
            <w:tcW w:w="1559" w:type="dxa"/>
            <w:vAlign w:val="center"/>
          </w:tcPr>
          <w:p w14:paraId="258EACDF" w14:textId="77777777" w:rsidR="00D73919" w:rsidRPr="00C32CC0" w:rsidRDefault="00D73919" w:rsidP="00BF1458">
            <w:pPr>
              <w:spacing w:after="0" w:line="240" w:lineRule="auto"/>
              <w:jc w:val="center"/>
            </w:pPr>
            <w:r w:rsidRPr="00C32CC0">
              <w:t>56,784</w:t>
            </w:r>
          </w:p>
        </w:tc>
      </w:tr>
      <w:tr w:rsidR="00D73919" w:rsidRPr="00C32CC0" w14:paraId="235BFB41" w14:textId="77777777" w:rsidTr="00BF1458">
        <w:trPr>
          <w:trHeight w:val="510"/>
          <w:jc w:val="center"/>
        </w:trPr>
        <w:tc>
          <w:tcPr>
            <w:tcW w:w="1843" w:type="dxa"/>
            <w:vAlign w:val="center"/>
          </w:tcPr>
          <w:p w14:paraId="7D940E32" w14:textId="77777777" w:rsidR="00D73919" w:rsidRPr="00C32CC0" w:rsidRDefault="00D73919" w:rsidP="00BF1458">
            <w:pPr>
              <w:spacing w:after="0" w:line="240" w:lineRule="auto"/>
              <w:jc w:val="center"/>
            </w:pPr>
            <w:r w:rsidRPr="00C32CC0">
              <w:rPr>
                <w:sz w:val="20"/>
              </w:rPr>
              <w:t>Objetivo</w:t>
            </w:r>
          </w:p>
        </w:tc>
        <w:tc>
          <w:tcPr>
            <w:tcW w:w="1408" w:type="dxa"/>
            <w:vAlign w:val="center"/>
          </w:tcPr>
          <w:p w14:paraId="33F17CB1" w14:textId="77777777" w:rsidR="00D73919" w:rsidRPr="00C32CC0" w:rsidRDefault="00D73919" w:rsidP="00BF1458">
            <w:pPr>
              <w:spacing w:after="0" w:line="240" w:lineRule="auto"/>
              <w:jc w:val="center"/>
            </w:pPr>
            <w:r w:rsidRPr="00C32CC0">
              <w:rPr>
                <w:sz w:val="20"/>
              </w:rPr>
              <w:t>Número</w:t>
            </w:r>
          </w:p>
        </w:tc>
        <w:tc>
          <w:tcPr>
            <w:tcW w:w="1559" w:type="dxa"/>
            <w:vAlign w:val="center"/>
          </w:tcPr>
          <w:p w14:paraId="524954C3" w14:textId="77777777" w:rsidR="00D73919" w:rsidRPr="00C32CC0" w:rsidRDefault="00D73919" w:rsidP="00BF1458">
            <w:pPr>
              <w:spacing w:after="0" w:line="240" w:lineRule="auto"/>
              <w:jc w:val="center"/>
            </w:pPr>
            <w:r w:rsidRPr="00C32CC0">
              <w:t>11,391</w:t>
            </w:r>
          </w:p>
        </w:tc>
        <w:tc>
          <w:tcPr>
            <w:tcW w:w="1559" w:type="dxa"/>
            <w:vAlign w:val="center"/>
          </w:tcPr>
          <w:p w14:paraId="62459B19" w14:textId="77777777" w:rsidR="00D73919" w:rsidRPr="00C32CC0" w:rsidRDefault="00D73919" w:rsidP="00BF1458">
            <w:pPr>
              <w:spacing w:after="0" w:line="240" w:lineRule="auto"/>
              <w:jc w:val="center"/>
            </w:pPr>
            <w:r w:rsidRPr="00C32CC0">
              <w:t>11,391</w:t>
            </w:r>
          </w:p>
        </w:tc>
      </w:tr>
      <w:tr w:rsidR="00D73919" w:rsidRPr="00C32CC0" w14:paraId="1D3A685A" w14:textId="77777777" w:rsidTr="00BF1458">
        <w:trPr>
          <w:trHeight w:val="510"/>
          <w:jc w:val="center"/>
        </w:trPr>
        <w:tc>
          <w:tcPr>
            <w:tcW w:w="1843" w:type="dxa"/>
            <w:vAlign w:val="center"/>
          </w:tcPr>
          <w:p w14:paraId="1AC2B90B" w14:textId="77777777" w:rsidR="00D73919" w:rsidRPr="00C32CC0" w:rsidRDefault="00D73919" w:rsidP="00BF1458">
            <w:pPr>
              <w:spacing w:after="0" w:line="240" w:lineRule="auto"/>
              <w:jc w:val="center"/>
            </w:pPr>
            <w:r w:rsidRPr="00C32CC0">
              <w:rPr>
                <w:sz w:val="20"/>
              </w:rPr>
              <w:t>Atendida</w:t>
            </w:r>
          </w:p>
        </w:tc>
        <w:tc>
          <w:tcPr>
            <w:tcW w:w="1408" w:type="dxa"/>
            <w:vAlign w:val="center"/>
          </w:tcPr>
          <w:p w14:paraId="3B4198F6" w14:textId="77777777" w:rsidR="00D73919" w:rsidRPr="00C32CC0" w:rsidRDefault="00D73919" w:rsidP="00BF1458">
            <w:pPr>
              <w:spacing w:after="0" w:line="240" w:lineRule="auto"/>
              <w:jc w:val="center"/>
            </w:pPr>
            <w:r w:rsidRPr="00C32CC0">
              <w:rPr>
                <w:sz w:val="20"/>
              </w:rPr>
              <w:t>Número</w:t>
            </w:r>
          </w:p>
        </w:tc>
        <w:tc>
          <w:tcPr>
            <w:tcW w:w="1559" w:type="dxa"/>
            <w:vAlign w:val="center"/>
          </w:tcPr>
          <w:p w14:paraId="5E95F786" w14:textId="77777777" w:rsidR="00D73919" w:rsidRPr="00C32CC0" w:rsidRDefault="00D73919" w:rsidP="00BF1458">
            <w:pPr>
              <w:spacing w:after="0" w:line="240" w:lineRule="auto"/>
              <w:jc w:val="center"/>
            </w:pPr>
            <w:r w:rsidRPr="00C32CC0">
              <w:t>7,623</w:t>
            </w:r>
          </w:p>
        </w:tc>
        <w:tc>
          <w:tcPr>
            <w:tcW w:w="1559" w:type="dxa"/>
            <w:vAlign w:val="center"/>
          </w:tcPr>
          <w:p w14:paraId="3A45A792" w14:textId="77777777" w:rsidR="00D73919" w:rsidRPr="00C32CC0" w:rsidRDefault="00D73919" w:rsidP="00BF1458">
            <w:pPr>
              <w:spacing w:after="0" w:line="240" w:lineRule="auto"/>
              <w:jc w:val="center"/>
            </w:pPr>
            <w:r w:rsidRPr="00C32CC0">
              <w:t>5,457</w:t>
            </w:r>
          </w:p>
        </w:tc>
      </w:tr>
      <w:tr w:rsidR="00D73919" w:rsidRPr="00C32CC0" w14:paraId="045A2239" w14:textId="77777777" w:rsidTr="00BF1458">
        <w:trPr>
          <w:trHeight w:val="850"/>
          <w:jc w:val="center"/>
        </w:trPr>
        <w:tc>
          <w:tcPr>
            <w:tcW w:w="1843" w:type="dxa"/>
            <w:vAlign w:val="center"/>
          </w:tcPr>
          <w:p w14:paraId="64C21624" w14:textId="77777777" w:rsidR="00D73919" w:rsidRPr="00C32CC0" w:rsidRDefault="00D73919" w:rsidP="00BF1458">
            <w:pPr>
              <w:spacing w:after="0" w:line="240" w:lineRule="auto"/>
              <w:jc w:val="center"/>
            </w:pPr>
            <w:r w:rsidRPr="00C32CC0">
              <w:rPr>
                <w:noProof/>
                <w:sz w:val="20"/>
                <w:lang w:eastAsia="es-MX"/>
              </w:rPr>
              <w:drawing>
                <wp:anchor distT="0" distB="0" distL="114300" distR="114300" simplePos="0" relativeHeight="251659264" behindDoc="0" locked="0" layoutInCell="1" allowOverlap="1" wp14:anchorId="10DF9052" wp14:editId="6BB04253">
                  <wp:simplePos x="0" y="0"/>
                  <wp:positionH relativeFrom="column">
                    <wp:posOffset>263525</wp:posOffset>
                  </wp:positionH>
                  <wp:positionV relativeFrom="paragraph">
                    <wp:posOffset>-7620</wp:posOffset>
                  </wp:positionV>
                  <wp:extent cx="552450" cy="257175"/>
                  <wp:effectExtent l="0" t="0" r="0" b="9525"/>
                  <wp:wrapNone/>
                  <wp:docPr id="3" name="Imagen 3">
                    <a:extLst xmlns:a="http://schemas.openxmlformats.org/drawingml/2006/main">
                      <a:ext uri="{FF2B5EF4-FFF2-40B4-BE49-F238E27FC236}">
                        <a16:creationId xmlns:a16="http://schemas.microsoft.com/office/drawing/2014/main" id="{5AA72E4A-E016-4CB8-9B70-E6D6E0620783}"/>
                      </a:ext>
                    </a:extLst>
                  </wp:docPr>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5AA72E4A-E016-4CB8-9B70-E6D6E0620783}"/>
                              </a:ext>
                            </a:extLst>
                          </pic:cNvPr>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408" w:type="dxa"/>
            <w:vAlign w:val="center"/>
          </w:tcPr>
          <w:p w14:paraId="04D84DEE" w14:textId="77777777" w:rsidR="00D73919" w:rsidRPr="00C32CC0" w:rsidRDefault="00D73919" w:rsidP="00BF1458">
            <w:pPr>
              <w:spacing w:after="0" w:line="240" w:lineRule="auto"/>
              <w:jc w:val="center"/>
            </w:pPr>
            <w:r w:rsidRPr="00C32CC0">
              <w:rPr>
                <w:sz w:val="20"/>
              </w:rPr>
              <w:t>Porcentaje</w:t>
            </w:r>
          </w:p>
        </w:tc>
        <w:tc>
          <w:tcPr>
            <w:tcW w:w="1559" w:type="dxa"/>
            <w:vAlign w:val="center"/>
          </w:tcPr>
          <w:p w14:paraId="793257AF" w14:textId="77777777" w:rsidR="00D73919" w:rsidRPr="00C32CC0" w:rsidRDefault="00D73919" w:rsidP="00BF1458">
            <w:pPr>
              <w:spacing w:after="0" w:line="240" w:lineRule="auto"/>
              <w:jc w:val="center"/>
            </w:pPr>
            <w:r w:rsidRPr="00C32CC0">
              <w:rPr>
                <w:sz w:val="20"/>
              </w:rPr>
              <w:t>66.92%</w:t>
            </w:r>
          </w:p>
        </w:tc>
        <w:tc>
          <w:tcPr>
            <w:tcW w:w="1559" w:type="dxa"/>
            <w:vAlign w:val="center"/>
          </w:tcPr>
          <w:p w14:paraId="1B5AC592" w14:textId="77777777" w:rsidR="00D73919" w:rsidRPr="00C32CC0" w:rsidRDefault="00D73919" w:rsidP="00BF1458">
            <w:pPr>
              <w:spacing w:after="0" w:line="240" w:lineRule="auto"/>
              <w:jc w:val="center"/>
            </w:pPr>
            <w:r w:rsidRPr="00C32CC0">
              <w:rPr>
                <w:sz w:val="20"/>
              </w:rPr>
              <w:t>47.9%</w:t>
            </w:r>
          </w:p>
        </w:tc>
      </w:tr>
    </w:tbl>
    <w:p w14:paraId="1F158376" w14:textId="77777777" w:rsidR="00D73919" w:rsidRDefault="00D73919" w:rsidP="0093455C">
      <w:pPr>
        <w:ind w:left="708"/>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11B8DF36" w14:textId="77777777" w:rsidR="00D73919" w:rsidRDefault="00D73919" w:rsidP="00D73919">
      <w:pPr>
        <w:pStyle w:val="Prrafodelista"/>
        <w:numPr>
          <w:ilvl w:val="0"/>
          <w:numId w:val="8"/>
        </w:numPr>
        <w:spacing w:line="276" w:lineRule="auto"/>
      </w:pPr>
      <w:r>
        <w:t>El programa está vinculado a los objetivos y estrategias del PED Sinaloa 2017 – 2021.</w:t>
      </w:r>
    </w:p>
    <w:p w14:paraId="7C57D090" w14:textId="77777777" w:rsidR="00D73919" w:rsidRDefault="00D73919" w:rsidP="00D73919">
      <w:pPr>
        <w:pStyle w:val="Prrafodelista"/>
        <w:numPr>
          <w:ilvl w:val="0"/>
          <w:numId w:val="8"/>
        </w:numPr>
        <w:spacing w:line="276" w:lineRule="auto"/>
      </w:pPr>
      <w:r>
        <w:t>En la Ley de los Derechos de los Pueblos y Comunidades Indígenas para el Estado de Sinaloa.</w:t>
      </w:r>
    </w:p>
    <w:p w14:paraId="4FE91C1F" w14:textId="77777777" w:rsidR="00D73919" w:rsidRDefault="00D73919" w:rsidP="00D73919">
      <w:pPr>
        <w:pStyle w:val="Prrafodelista"/>
        <w:numPr>
          <w:ilvl w:val="0"/>
          <w:numId w:val="8"/>
        </w:numPr>
        <w:spacing w:line="276" w:lineRule="auto"/>
      </w:pPr>
      <w:r>
        <w:t>la Ley que establece el Catálogo de Pueblos y Comunidades Indígenas del Estado de Sinaloa.</w:t>
      </w:r>
    </w:p>
    <w:p w14:paraId="478838A1" w14:textId="77777777" w:rsidR="00D73919" w:rsidRDefault="00D73919" w:rsidP="00D73919">
      <w:pPr>
        <w:pStyle w:val="Prrafodelista"/>
        <w:numPr>
          <w:ilvl w:val="0"/>
          <w:numId w:val="8"/>
        </w:numPr>
        <w:spacing w:line="276" w:lineRule="auto"/>
      </w:pPr>
      <w:r>
        <w:t>Existen elementos metodológicos y de planeación que permiten diseñar, monitoreo, dar seguimiento, evaluar y rendir cuentas del programa.</w:t>
      </w:r>
    </w:p>
    <w:p w14:paraId="7ACA5156" w14:textId="77777777" w:rsidR="00D73919" w:rsidRDefault="00D73919" w:rsidP="00D73919">
      <w:pPr>
        <w:pStyle w:val="Prrafodelista"/>
        <w:numPr>
          <w:ilvl w:val="0"/>
          <w:numId w:val="8"/>
        </w:numPr>
        <w:spacing w:line="276" w:lineRule="auto"/>
      </w:pPr>
      <w:r>
        <w:t>Se cuenta con información sobre la población objetivo, que cubre el programa.</w:t>
      </w:r>
    </w:p>
    <w:p w14:paraId="3E9F450E" w14:textId="77777777" w:rsidR="00D73919" w:rsidRDefault="00D73919" w:rsidP="00D73919">
      <w:pPr>
        <w:pStyle w:val="Prrafodelista"/>
        <w:numPr>
          <w:ilvl w:val="0"/>
          <w:numId w:val="8"/>
        </w:numPr>
        <w:spacing w:line="276" w:lineRule="auto"/>
      </w:pPr>
      <w:r>
        <w:lastRenderedPageBreak/>
        <w:t>El programa alcanzó un 47.9% de cobertura en el ejercicio fiscal 2021.</w:t>
      </w:r>
    </w:p>
    <w:p w14:paraId="6490E0DF" w14:textId="77777777" w:rsidR="00D73919" w:rsidRDefault="00D73919" w:rsidP="00D73919">
      <w:pPr>
        <w:pStyle w:val="Prrafodelista"/>
        <w:numPr>
          <w:ilvl w:val="0"/>
          <w:numId w:val="8"/>
        </w:numPr>
        <w:spacing w:line="276" w:lineRule="auto"/>
      </w:pPr>
      <w:r>
        <w:t>Se utilizan elementos metodológicos y normas que apoyan la información.</w:t>
      </w:r>
    </w:p>
    <w:p w14:paraId="64D5099F" w14:textId="77777777" w:rsidR="00D73919" w:rsidRDefault="00D73919" w:rsidP="00D73919">
      <w:pPr>
        <w:pStyle w:val="Prrafodelista"/>
        <w:numPr>
          <w:ilvl w:val="0"/>
          <w:numId w:val="8"/>
        </w:numPr>
        <w:spacing w:line="276" w:lineRule="auto"/>
      </w:pPr>
      <w:r>
        <w:t>Existe el convenio 169 de la Organización Internacional del Trabajo (ONU), en el cual está incluido México, que promueve los Derechos de los Pueblos y Comunidades Indígenas.</w:t>
      </w:r>
    </w:p>
    <w:p w14:paraId="5BDF17EA" w14:textId="77777777" w:rsidR="00D73919" w:rsidRDefault="00D73919" w:rsidP="00D73919">
      <w:pPr>
        <w:pStyle w:val="Prrafodelista"/>
        <w:numPr>
          <w:ilvl w:val="0"/>
          <w:numId w:val="8"/>
        </w:numPr>
        <w:spacing w:line="276" w:lineRule="auto"/>
      </w:pPr>
      <w:r>
        <w:t>Se cuenta con una Comisión de Asuntos Indígenas en el Congreso del Estado de Sinaloa.</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17EEB135" w14:textId="77777777" w:rsidR="00D73919" w:rsidRDefault="00D73919" w:rsidP="00D73919">
      <w:pPr>
        <w:pStyle w:val="Prrafodelista"/>
        <w:numPr>
          <w:ilvl w:val="0"/>
          <w:numId w:val="8"/>
        </w:numPr>
        <w:spacing w:line="276" w:lineRule="auto"/>
      </w:pPr>
      <w:r>
        <w:t>El programa tiene identificado el problema que busca resolver, mismo que se encuentra identificado en el árbol del problema del programa y en el PSS 2020 – 2024 derivado del PND 2019 – 2024.</w:t>
      </w:r>
    </w:p>
    <w:p w14:paraId="3B110E81" w14:textId="77777777" w:rsidR="00D73919" w:rsidRDefault="00D73919" w:rsidP="00D73919">
      <w:pPr>
        <w:pStyle w:val="Prrafodelista"/>
        <w:numPr>
          <w:ilvl w:val="0"/>
          <w:numId w:val="8"/>
        </w:numPr>
        <w:spacing w:line="276" w:lineRule="auto"/>
      </w:pPr>
      <w:r>
        <w:t>El programa se encuentra vinculado con los Objetivos del Desarrollo Sostenible.</w:t>
      </w:r>
    </w:p>
    <w:p w14:paraId="186632F2" w14:textId="77777777" w:rsidR="00D73919" w:rsidRDefault="00D73919" w:rsidP="00D73919">
      <w:pPr>
        <w:pStyle w:val="Prrafodelista"/>
        <w:numPr>
          <w:ilvl w:val="0"/>
          <w:numId w:val="8"/>
        </w:numPr>
        <w:spacing w:line="276" w:lineRule="auto"/>
      </w:pPr>
      <w:r>
        <w:t>Ley del Instituto Nacional de los Pueblos Indígenas</w:t>
      </w:r>
    </w:p>
    <w:p w14:paraId="2DF55A1E" w14:textId="77777777" w:rsidR="00D73919" w:rsidRDefault="00D73919" w:rsidP="00D73919">
      <w:pPr>
        <w:pStyle w:val="Prrafodelista"/>
        <w:numPr>
          <w:ilvl w:val="0"/>
          <w:numId w:val="8"/>
        </w:numPr>
        <w:spacing w:line="276" w:lineRule="auto"/>
      </w:pPr>
      <w:r>
        <w:t>El programa utiliza sistemas de captura y análisis de la información.</w:t>
      </w:r>
    </w:p>
    <w:p w14:paraId="5F0F6F33" w14:textId="77777777" w:rsidR="00D73919" w:rsidRDefault="00D73919" w:rsidP="00D73919">
      <w:pPr>
        <w:pStyle w:val="Prrafodelista"/>
        <w:numPr>
          <w:ilvl w:val="0"/>
          <w:numId w:val="8"/>
        </w:numPr>
        <w:spacing w:line="276" w:lineRule="auto"/>
      </w:pPr>
      <w:r>
        <w:t xml:space="preserve">Se cuenta con 28 Centros Ceremoniales </w:t>
      </w:r>
      <w:proofErr w:type="spellStart"/>
      <w:r>
        <w:t>Yoremes</w:t>
      </w:r>
      <w:proofErr w:type="spellEnd"/>
      <w:r>
        <w:t xml:space="preserve"> y Asociaciones Civiles Indígenas de 5 Lenguas Originarias de México, establecidas en el Estado de Sinaloa.</w:t>
      </w:r>
    </w:p>
    <w:p w14:paraId="6E29CED1" w14:textId="77777777" w:rsidR="00D73919" w:rsidRDefault="00D73919" w:rsidP="00D73919">
      <w:pPr>
        <w:pStyle w:val="Prrafodelista"/>
        <w:numPr>
          <w:ilvl w:val="0"/>
          <w:numId w:val="8"/>
        </w:numPr>
        <w:spacing w:line="276" w:lineRule="auto"/>
      </w:pPr>
      <w:r>
        <w:t>Sinaloa cuenta con 4 Lenguas Originarias del Estado.</w:t>
      </w:r>
    </w:p>
    <w:p w14:paraId="54F01937" w14:textId="77777777" w:rsidR="00D73919" w:rsidRDefault="00D73919" w:rsidP="00D73919">
      <w:pPr>
        <w:pStyle w:val="Prrafodelista"/>
        <w:numPr>
          <w:ilvl w:val="0"/>
          <w:numId w:val="8"/>
        </w:numPr>
        <w:spacing w:line="276" w:lineRule="auto"/>
      </w:pPr>
      <w:r>
        <w:t>Se cuenta con un reordenamiento ecológico en el Estado de Sinaloa, priorizando las consultas y la participación de las Comunidades Indígenas del Estado.</w:t>
      </w:r>
    </w:p>
    <w:p w14:paraId="1A044566" w14:textId="77777777" w:rsidR="00D73919" w:rsidRDefault="00D73919" w:rsidP="00D73919">
      <w:pPr>
        <w:pStyle w:val="Prrafodelista"/>
        <w:numPr>
          <w:ilvl w:val="0"/>
          <w:numId w:val="8"/>
        </w:numPr>
        <w:spacing w:line="276" w:lineRule="auto"/>
      </w:pPr>
      <w:r>
        <w:t>El Gobierno Federal cuenta con una Política Pública para sensibilizar a la sociedad en general sobre la discriminación que son objeto las personas indígenas.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3A2D1EF7" w14:textId="77777777" w:rsidR="00D73919" w:rsidRDefault="00D73919" w:rsidP="00D73919">
      <w:pPr>
        <w:pStyle w:val="Prrafodelista"/>
        <w:numPr>
          <w:ilvl w:val="0"/>
          <w:numId w:val="8"/>
        </w:numPr>
        <w:spacing w:line="276" w:lineRule="auto"/>
      </w:pPr>
      <w:r>
        <w:t>No se cuenta con un instrumento para medir el grado de satisfacción de la población atendida por el Programa.</w:t>
      </w:r>
    </w:p>
    <w:p w14:paraId="41F10617" w14:textId="77777777" w:rsidR="00D73919" w:rsidRDefault="00D73919" w:rsidP="00D73919">
      <w:pPr>
        <w:pStyle w:val="Prrafodelista"/>
        <w:numPr>
          <w:ilvl w:val="0"/>
          <w:numId w:val="8"/>
        </w:numPr>
        <w:spacing w:line="276" w:lineRule="auto"/>
      </w:pPr>
      <w:r>
        <w:t>No se cuenta con medios oficiales (sitios web) donde se exhiban los resultados del programa.</w:t>
      </w:r>
    </w:p>
    <w:p w14:paraId="56837998" w14:textId="77777777" w:rsidR="00D73919" w:rsidRDefault="00D73919" w:rsidP="00D73919">
      <w:pPr>
        <w:pStyle w:val="Prrafodelista"/>
        <w:numPr>
          <w:ilvl w:val="0"/>
          <w:numId w:val="8"/>
        </w:numPr>
        <w:spacing w:line="276" w:lineRule="auto"/>
      </w:pPr>
      <w:r>
        <w:t>Existen actualmente Gobiernos Municipales y funcionarios Estatales que no aplican una perspectiva indígena en sus Políticas Públicas.</w:t>
      </w:r>
    </w:p>
    <w:p w14:paraId="0CDCA2E0" w14:textId="77777777" w:rsidR="00D73919" w:rsidRDefault="00D73919" w:rsidP="00D73919">
      <w:pPr>
        <w:pStyle w:val="Prrafodelista"/>
        <w:numPr>
          <w:ilvl w:val="0"/>
          <w:numId w:val="8"/>
        </w:numPr>
        <w:spacing w:line="276" w:lineRule="auto"/>
      </w:pPr>
      <w:r>
        <w:t>La instancia Estatal de Atención a las Comunidades Indígenas, denominada COPACIS, no cuenta con un Reglamento Orgánico que la rige.</w:t>
      </w:r>
    </w:p>
    <w:p w14:paraId="07611903" w14:textId="77777777" w:rsidR="00D73919" w:rsidRDefault="00D73919" w:rsidP="00D73919">
      <w:pPr>
        <w:pStyle w:val="Prrafodelista"/>
        <w:numPr>
          <w:ilvl w:val="0"/>
          <w:numId w:val="8"/>
        </w:numPr>
        <w:spacing w:line="276" w:lineRule="auto"/>
      </w:pPr>
      <w:r>
        <w:t>No se cuenta con un porcentaje justo de la participación de Indígenas, en el Congreso del Estado, así como en Cabildos y la Administración Pública Federal y Estatal.</w:t>
      </w:r>
    </w:p>
    <w:p w14:paraId="33092CF5" w14:textId="77777777" w:rsidR="00D73919" w:rsidRDefault="00D73919" w:rsidP="00D73919">
      <w:pPr>
        <w:pStyle w:val="Prrafodelista"/>
        <w:numPr>
          <w:ilvl w:val="0"/>
          <w:numId w:val="8"/>
        </w:numPr>
        <w:spacing w:line="276" w:lineRule="auto"/>
      </w:pPr>
      <w:r>
        <w:t>Existe divisionismo en los distintos Pueblos y Comunidades Indígenas del Estado, por ideologías políticas, dejando a un lado las tradiciones y costumbres de sus pueblos.</w:t>
      </w:r>
    </w:p>
    <w:p w14:paraId="020E7492" w14:textId="77777777" w:rsidR="00D73919" w:rsidRDefault="00D73919" w:rsidP="00D73919">
      <w:pPr>
        <w:pStyle w:val="Prrafodelista"/>
        <w:numPr>
          <w:ilvl w:val="0"/>
          <w:numId w:val="8"/>
        </w:numPr>
        <w:spacing w:line="276" w:lineRule="auto"/>
      </w:pPr>
      <w:r>
        <w:t>Se cuenta con una población indígenas de escaso nivel académico.</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2830AD64" w14:textId="77777777" w:rsidR="00D73919" w:rsidRDefault="00D73919" w:rsidP="00D73919">
      <w:pPr>
        <w:pStyle w:val="Prrafodelista"/>
        <w:numPr>
          <w:ilvl w:val="0"/>
          <w:numId w:val="8"/>
        </w:numPr>
        <w:spacing w:line="276" w:lineRule="auto"/>
      </w:pPr>
      <w:r>
        <w:t>No se cuenta con un instrumento para medir el grado de satisfacción de la población atendida por el Programa.</w:t>
      </w:r>
    </w:p>
    <w:p w14:paraId="268BBA4E" w14:textId="77777777" w:rsidR="00D73919" w:rsidRDefault="00D73919" w:rsidP="00D73919">
      <w:pPr>
        <w:pStyle w:val="Prrafodelista"/>
        <w:numPr>
          <w:ilvl w:val="0"/>
          <w:numId w:val="8"/>
        </w:numPr>
        <w:spacing w:line="276" w:lineRule="auto"/>
      </w:pPr>
      <w:r>
        <w:t>No se cuenta con medios oficiales (sitios web) donde se exhiban los resultados del programa.</w:t>
      </w:r>
    </w:p>
    <w:p w14:paraId="59770219" w14:textId="77777777" w:rsidR="00D73919" w:rsidRDefault="00D73919" w:rsidP="00D73919">
      <w:pPr>
        <w:pStyle w:val="Prrafodelista"/>
        <w:numPr>
          <w:ilvl w:val="0"/>
          <w:numId w:val="8"/>
        </w:numPr>
        <w:spacing w:line="276" w:lineRule="auto"/>
      </w:pPr>
      <w:r>
        <w:t>Desaparición de las Lenguas Originarias del Estado, por falta de acciones encaminadas a la Conservación y su Preservación.</w:t>
      </w:r>
    </w:p>
    <w:p w14:paraId="45986906" w14:textId="77777777" w:rsidR="00D73919" w:rsidRDefault="00D73919" w:rsidP="00D73919">
      <w:pPr>
        <w:pStyle w:val="Prrafodelista"/>
        <w:numPr>
          <w:ilvl w:val="0"/>
          <w:numId w:val="8"/>
        </w:numPr>
        <w:spacing w:line="276" w:lineRule="auto"/>
      </w:pPr>
      <w:r>
        <w:t>Que se presente el fenómeno de Migración de Indígenas en los Pueblos y Comunidades Indígenas del Estado, por falta de oportunidad de empleo o de una actividad económica.</w:t>
      </w:r>
    </w:p>
    <w:p w14:paraId="0301F342" w14:textId="77777777" w:rsidR="00D73919" w:rsidRDefault="00D73919" w:rsidP="00D73919">
      <w:pPr>
        <w:pStyle w:val="Prrafodelista"/>
        <w:numPr>
          <w:ilvl w:val="0"/>
          <w:numId w:val="8"/>
        </w:numPr>
        <w:spacing w:line="276" w:lineRule="auto"/>
      </w:pPr>
      <w:r>
        <w:lastRenderedPageBreak/>
        <w:t>Que se presente un Desplazamiento forzoso de Familias Indígenas, desde sus lugares de origen a las grandes ciudades, a consecuencia de la inseguridad provocada por Grupos de la Delincuencia Organizada.</w:t>
      </w:r>
    </w:p>
    <w:p w14:paraId="7CDDE9EA" w14:textId="77777777" w:rsidR="00D73919" w:rsidRDefault="00D73919" w:rsidP="00D73919">
      <w:pPr>
        <w:pStyle w:val="Prrafodelista"/>
        <w:numPr>
          <w:ilvl w:val="0"/>
          <w:numId w:val="8"/>
        </w:numPr>
        <w:spacing w:line="276" w:lineRule="auto"/>
      </w:pPr>
      <w:r>
        <w:t>Que exista una disminución del Presupuesto etiquetado para la COPACIS, debido a las nuevas asignaciones presupuestales de parte del Congreso del Estado.</w:t>
      </w:r>
    </w:p>
    <w:p w14:paraId="6863A607" w14:textId="77777777" w:rsidR="00D73919" w:rsidRDefault="00D73919" w:rsidP="00D73919">
      <w:pPr>
        <w:pStyle w:val="Prrafodelista"/>
        <w:numPr>
          <w:ilvl w:val="0"/>
          <w:numId w:val="8"/>
        </w:numPr>
        <w:spacing w:line="276" w:lineRule="auto"/>
      </w:pPr>
      <w:r>
        <w:t>Desaparición de la Identidad de los Pueblos Indígenas del Estado, debido a la influencia de un mundo global en que vivimos.</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AF2993" w14:paraId="2071B523" w14:textId="77777777" w:rsidTr="00090637">
        <w:trPr>
          <w:trHeight w:val="340"/>
        </w:trPr>
        <w:tc>
          <w:tcPr>
            <w:tcW w:w="9910" w:type="dxa"/>
            <w:shd w:val="clear" w:color="auto" w:fill="651D32"/>
            <w:vAlign w:val="center"/>
          </w:tcPr>
          <w:p w14:paraId="0D736EE3" w14:textId="77777777" w:rsidR="00AF2993" w:rsidRDefault="00AF2993" w:rsidP="006F4B1F">
            <w:pPr>
              <w:pStyle w:val="Prrafodelista"/>
              <w:numPr>
                <w:ilvl w:val="0"/>
                <w:numId w:val="4"/>
              </w:numPr>
              <w:spacing w:after="0" w:line="276" w:lineRule="auto"/>
            </w:pPr>
            <w:r w:rsidRPr="00AF2993">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5568941F" w14:textId="77777777" w:rsidR="00A4624B" w:rsidRPr="00A4624B" w:rsidRDefault="00A4624B" w:rsidP="00AC6C96">
      <w:pPr>
        <w:spacing w:line="276" w:lineRule="auto"/>
        <w:ind w:left="284"/>
        <w:jc w:val="both"/>
        <w:rPr>
          <w:lang w:val="es-ES"/>
        </w:rPr>
      </w:pPr>
      <w:r w:rsidRPr="00A4624B">
        <w:rPr>
          <w:lang w:val="es-ES"/>
        </w:rPr>
        <w:t xml:space="preserve">La ECR se basa en responder 51 preguntas que abordan los temas de diseño, planeación y orientación a resultados, cobertura y focalización, operación, percepción de la población atendida, medición de resultados y en la elaboración de diversos anexos. </w:t>
      </w:r>
    </w:p>
    <w:p w14:paraId="28075071" w14:textId="77777777" w:rsidR="00A4624B" w:rsidRPr="00A4624B" w:rsidRDefault="00A4624B" w:rsidP="00AC6C96">
      <w:pPr>
        <w:spacing w:line="276" w:lineRule="auto"/>
        <w:ind w:left="284"/>
        <w:jc w:val="both"/>
        <w:rPr>
          <w:lang w:val="es-ES"/>
        </w:rPr>
      </w:pPr>
      <w:r w:rsidRPr="00A4624B">
        <w:rPr>
          <w:lang w:val="es-ES"/>
        </w:rPr>
        <w:t>De las 51 preguntas, 34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73BAE625" w14:textId="77777777" w:rsidR="00D73919" w:rsidRDefault="00D73919" w:rsidP="00D73919">
      <w:pPr>
        <w:ind w:left="284"/>
        <w:jc w:val="both"/>
      </w:pPr>
      <w:r>
        <w:t>Con base en las preguntas que tienen una repuesta binaria y que presentan una calificación se obtuvieron los resultados anotados en el siguiente cuadro. Como se puede observar, la puntuación global es de 1.07 sobre una calificación máxima de 4 para cada uno de los temas, destacándose las notas de diseño, y cobertura y focalización, sin embargo, es preciso anotar que este es el primer ejercicio de evaluación de este programa en el estado de Sinaloa por lo que no hay evaluaciones previas que permitan contestar las preguntas 16, 17, 18, 19 y 20 en la sección de Planeación y Orientación a Resultados y las preguntas 46, 47, 48, 49, 50 y 51 de la sección de Resultados.</w:t>
      </w:r>
    </w:p>
    <w:p w14:paraId="3A213605" w14:textId="77777777" w:rsidR="0093455C" w:rsidRDefault="0093455C" w:rsidP="00A4624B">
      <w:pPr>
        <w:spacing w:after="0" w:line="276" w:lineRule="auto"/>
        <w:ind w:left="284"/>
        <w:jc w:val="both"/>
        <w:rPr>
          <w:lang w:val="es-ES"/>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681"/>
        <w:gridCol w:w="1231"/>
      </w:tblGrid>
      <w:tr w:rsidR="00A4624B" w:rsidRPr="006E67EA" w14:paraId="2FD94B32" w14:textId="77777777" w:rsidTr="006F5149">
        <w:trPr>
          <w:trHeight w:val="275"/>
          <w:jc w:val="center"/>
        </w:trPr>
        <w:tc>
          <w:tcPr>
            <w:tcW w:w="3681" w:type="dxa"/>
            <w:shd w:val="clear" w:color="auto" w:fill="651D32"/>
            <w:vAlign w:val="center"/>
          </w:tcPr>
          <w:p w14:paraId="4EE87CD3" w14:textId="77777777" w:rsidR="00A4624B" w:rsidRPr="006E67EA" w:rsidRDefault="00A4624B" w:rsidP="002C4887">
            <w:pPr>
              <w:spacing w:after="0" w:line="240" w:lineRule="auto"/>
              <w:jc w:val="center"/>
              <w:rPr>
                <w:rFonts w:asciiTheme="minorHAnsi" w:hAnsiTheme="minorHAnsi" w:cstheme="minorHAnsi"/>
              </w:rPr>
            </w:pPr>
            <w:r w:rsidRPr="006E67EA">
              <w:rPr>
                <w:rFonts w:asciiTheme="minorHAnsi" w:hAnsiTheme="minorHAnsi" w:cstheme="minorHAnsi"/>
              </w:rPr>
              <w:t>Tema</w:t>
            </w:r>
          </w:p>
        </w:tc>
        <w:tc>
          <w:tcPr>
            <w:tcW w:w="1231" w:type="dxa"/>
            <w:shd w:val="clear" w:color="auto" w:fill="651D32"/>
            <w:vAlign w:val="center"/>
          </w:tcPr>
          <w:p w14:paraId="48098251" w14:textId="77777777" w:rsidR="00A4624B" w:rsidRPr="006E67EA" w:rsidRDefault="00A4624B" w:rsidP="002C4887">
            <w:pPr>
              <w:spacing w:after="0" w:line="240" w:lineRule="auto"/>
              <w:jc w:val="center"/>
              <w:rPr>
                <w:rFonts w:asciiTheme="minorHAnsi" w:hAnsiTheme="minorHAnsi" w:cstheme="minorHAnsi"/>
              </w:rPr>
            </w:pPr>
            <w:r w:rsidRPr="006E67EA">
              <w:rPr>
                <w:rFonts w:asciiTheme="minorHAnsi" w:hAnsiTheme="minorHAnsi" w:cstheme="minorHAnsi"/>
              </w:rPr>
              <w:t>Calificación ponderada</w:t>
            </w:r>
          </w:p>
        </w:tc>
      </w:tr>
      <w:tr w:rsidR="00D73919" w:rsidRPr="006E67EA" w14:paraId="22EFC5DE" w14:textId="77777777" w:rsidTr="00A15CED">
        <w:trPr>
          <w:trHeight w:val="340"/>
          <w:jc w:val="center"/>
        </w:trPr>
        <w:tc>
          <w:tcPr>
            <w:tcW w:w="3681" w:type="dxa"/>
            <w:vAlign w:val="center"/>
          </w:tcPr>
          <w:p w14:paraId="3E269AFA" w14:textId="77777777" w:rsidR="00D73919" w:rsidRPr="006E67EA" w:rsidRDefault="00D73919" w:rsidP="00D73919">
            <w:pPr>
              <w:spacing w:after="0" w:line="240" w:lineRule="auto"/>
              <w:rPr>
                <w:rFonts w:asciiTheme="minorHAnsi" w:hAnsiTheme="minorHAnsi" w:cstheme="minorHAnsi"/>
              </w:rPr>
            </w:pPr>
            <w:r w:rsidRPr="006E67EA">
              <w:rPr>
                <w:rFonts w:asciiTheme="minorHAnsi" w:hAnsiTheme="minorHAnsi" w:cstheme="minorHAnsi"/>
              </w:rPr>
              <w:t>Diseño</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A142C2E" w14:textId="79EB03E2" w:rsidR="00D73919" w:rsidRPr="006E67EA" w:rsidRDefault="00D73919" w:rsidP="00D73919">
            <w:pPr>
              <w:spacing w:after="0" w:line="240" w:lineRule="auto"/>
              <w:jc w:val="center"/>
              <w:rPr>
                <w:rFonts w:asciiTheme="minorHAnsi" w:hAnsiTheme="minorHAnsi" w:cstheme="minorHAnsi"/>
              </w:rPr>
            </w:pPr>
            <w:r>
              <w:t>1.78</w:t>
            </w:r>
          </w:p>
        </w:tc>
      </w:tr>
      <w:tr w:rsidR="00D73919" w:rsidRPr="006E67EA" w14:paraId="1ED456F9" w14:textId="77777777" w:rsidTr="00A15CED">
        <w:trPr>
          <w:trHeight w:val="340"/>
          <w:jc w:val="center"/>
        </w:trPr>
        <w:tc>
          <w:tcPr>
            <w:tcW w:w="3681" w:type="dxa"/>
            <w:vAlign w:val="center"/>
          </w:tcPr>
          <w:p w14:paraId="6386915D" w14:textId="77777777" w:rsidR="00D73919" w:rsidRPr="006E67EA" w:rsidRDefault="00D73919" w:rsidP="00D73919">
            <w:pPr>
              <w:spacing w:after="0" w:line="240" w:lineRule="auto"/>
              <w:rPr>
                <w:rFonts w:asciiTheme="minorHAnsi" w:hAnsiTheme="minorHAnsi" w:cstheme="minorHAnsi"/>
              </w:rPr>
            </w:pPr>
            <w:r w:rsidRPr="006E67EA">
              <w:rPr>
                <w:rFonts w:asciiTheme="minorHAnsi" w:hAnsiTheme="minorHAnsi" w:cstheme="minorHAnsi"/>
              </w:rPr>
              <w:t>Planeación y orientación a resultados</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C839412" w14:textId="4800E08C" w:rsidR="00D73919" w:rsidRPr="006E67EA" w:rsidRDefault="00D73919" w:rsidP="00D73919">
            <w:pPr>
              <w:spacing w:after="0" w:line="240" w:lineRule="auto"/>
              <w:jc w:val="center"/>
              <w:rPr>
                <w:rFonts w:asciiTheme="minorHAnsi" w:hAnsiTheme="minorHAnsi" w:cstheme="minorHAnsi"/>
              </w:rPr>
            </w:pPr>
            <w:r>
              <w:t>1.17</w:t>
            </w:r>
          </w:p>
        </w:tc>
      </w:tr>
      <w:tr w:rsidR="00D73919" w:rsidRPr="006E67EA" w14:paraId="3D4D2757" w14:textId="77777777" w:rsidTr="00A15CED">
        <w:trPr>
          <w:trHeight w:val="340"/>
          <w:jc w:val="center"/>
        </w:trPr>
        <w:tc>
          <w:tcPr>
            <w:tcW w:w="3681" w:type="dxa"/>
            <w:vAlign w:val="center"/>
          </w:tcPr>
          <w:p w14:paraId="53195F87" w14:textId="77777777" w:rsidR="00D73919" w:rsidRPr="006E67EA" w:rsidRDefault="00D73919" w:rsidP="00D73919">
            <w:pPr>
              <w:spacing w:after="0" w:line="240" w:lineRule="auto"/>
              <w:rPr>
                <w:rFonts w:asciiTheme="minorHAnsi" w:hAnsiTheme="minorHAnsi" w:cstheme="minorHAnsi"/>
              </w:rPr>
            </w:pPr>
            <w:r w:rsidRPr="006E67EA">
              <w:rPr>
                <w:rFonts w:asciiTheme="minorHAnsi" w:hAnsiTheme="minorHAnsi" w:cstheme="minorHAnsi"/>
              </w:rPr>
              <w:t>Cobertura y focalización</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F72AC6A" w14:textId="64B346FB" w:rsidR="00D73919" w:rsidRPr="006E67EA" w:rsidRDefault="00D73919" w:rsidP="00D73919">
            <w:pPr>
              <w:spacing w:after="0" w:line="240" w:lineRule="auto"/>
              <w:jc w:val="center"/>
              <w:rPr>
                <w:rFonts w:asciiTheme="minorHAnsi" w:hAnsiTheme="minorHAnsi" w:cstheme="minorHAnsi"/>
              </w:rPr>
            </w:pPr>
            <w:r>
              <w:t>2.00</w:t>
            </w:r>
          </w:p>
        </w:tc>
      </w:tr>
      <w:tr w:rsidR="00D73919" w:rsidRPr="006E67EA" w14:paraId="0D64BF50" w14:textId="77777777" w:rsidTr="00A15CED">
        <w:trPr>
          <w:trHeight w:val="340"/>
          <w:jc w:val="center"/>
        </w:trPr>
        <w:tc>
          <w:tcPr>
            <w:tcW w:w="3681" w:type="dxa"/>
            <w:vAlign w:val="center"/>
          </w:tcPr>
          <w:p w14:paraId="53EAFD5C" w14:textId="77777777" w:rsidR="00D73919" w:rsidRPr="006E67EA" w:rsidRDefault="00D73919" w:rsidP="00D73919">
            <w:pPr>
              <w:spacing w:after="0" w:line="240" w:lineRule="auto"/>
              <w:rPr>
                <w:rFonts w:asciiTheme="minorHAnsi" w:hAnsiTheme="minorHAnsi" w:cstheme="minorHAnsi"/>
              </w:rPr>
            </w:pPr>
            <w:r w:rsidRPr="006E67EA">
              <w:rPr>
                <w:rFonts w:asciiTheme="minorHAnsi" w:hAnsiTheme="minorHAnsi" w:cstheme="minorHAnsi"/>
              </w:rPr>
              <w:t>Operación</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9069A92" w14:textId="4CB6E925" w:rsidR="00D73919" w:rsidRPr="006E67EA" w:rsidRDefault="00D73919" w:rsidP="00D73919">
            <w:pPr>
              <w:spacing w:after="0" w:line="240" w:lineRule="auto"/>
              <w:jc w:val="center"/>
              <w:rPr>
                <w:rFonts w:asciiTheme="minorHAnsi" w:hAnsiTheme="minorHAnsi" w:cstheme="minorHAnsi"/>
              </w:rPr>
            </w:pPr>
            <w:r>
              <w:t>1.50</w:t>
            </w:r>
          </w:p>
        </w:tc>
      </w:tr>
      <w:tr w:rsidR="00D73919" w:rsidRPr="006E67EA" w14:paraId="6342DFC4" w14:textId="77777777" w:rsidTr="00A15CED">
        <w:trPr>
          <w:trHeight w:val="340"/>
          <w:jc w:val="center"/>
        </w:trPr>
        <w:tc>
          <w:tcPr>
            <w:tcW w:w="3681" w:type="dxa"/>
            <w:vAlign w:val="center"/>
          </w:tcPr>
          <w:p w14:paraId="6D0C25AB" w14:textId="77777777" w:rsidR="00D73919" w:rsidRPr="006E67EA" w:rsidRDefault="00D73919" w:rsidP="00D73919">
            <w:pPr>
              <w:spacing w:after="0" w:line="240" w:lineRule="auto"/>
              <w:rPr>
                <w:rFonts w:asciiTheme="minorHAnsi" w:hAnsiTheme="minorHAnsi" w:cstheme="minorHAnsi"/>
              </w:rPr>
            </w:pPr>
            <w:r w:rsidRPr="006E67EA">
              <w:rPr>
                <w:rFonts w:asciiTheme="minorHAnsi" w:hAnsiTheme="minorHAnsi" w:cstheme="minorHAnsi"/>
              </w:rPr>
              <w:t>Percepción de la población atendida</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60E0783" w14:textId="201B01BE" w:rsidR="00D73919" w:rsidRPr="006E67EA" w:rsidRDefault="00D73919" w:rsidP="00D73919">
            <w:pPr>
              <w:spacing w:after="0" w:line="240" w:lineRule="auto"/>
              <w:jc w:val="center"/>
              <w:rPr>
                <w:rFonts w:asciiTheme="minorHAnsi" w:hAnsiTheme="minorHAnsi" w:cstheme="minorHAnsi"/>
              </w:rPr>
            </w:pPr>
            <w:r>
              <w:t>0.00</w:t>
            </w:r>
          </w:p>
        </w:tc>
      </w:tr>
      <w:tr w:rsidR="00D73919" w:rsidRPr="006E67EA" w14:paraId="725AA31E" w14:textId="77777777" w:rsidTr="00A15CED">
        <w:trPr>
          <w:trHeight w:val="340"/>
          <w:jc w:val="center"/>
        </w:trPr>
        <w:tc>
          <w:tcPr>
            <w:tcW w:w="3681" w:type="dxa"/>
            <w:vAlign w:val="center"/>
          </w:tcPr>
          <w:p w14:paraId="178F3E5E" w14:textId="77777777" w:rsidR="00D73919" w:rsidRPr="006E67EA" w:rsidRDefault="00D73919" w:rsidP="00D73919">
            <w:pPr>
              <w:spacing w:after="0" w:line="240" w:lineRule="auto"/>
              <w:rPr>
                <w:rFonts w:asciiTheme="minorHAnsi" w:hAnsiTheme="minorHAnsi" w:cstheme="minorHAnsi"/>
              </w:rPr>
            </w:pPr>
            <w:r w:rsidRPr="006E67EA">
              <w:rPr>
                <w:rFonts w:asciiTheme="minorHAnsi" w:hAnsiTheme="minorHAnsi" w:cstheme="minorHAnsi"/>
              </w:rPr>
              <w:t>Resultados</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D585FA8" w14:textId="471E8C92" w:rsidR="00D73919" w:rsidRPr="006E67EA" w:rsidRDefault="00D73919" w:rsidP="00D73919">
            <w:pPr>
              <w:spacing w:after="0" w:line="240" w:lineRule="auto"/>
              <w:jc w:val="center"/>
              <w:rPr>
                <w:rFonts w:asciiTheme="minorHAnsi" w:hAnsiTheme="minorHAnsi" w:cstheme="minorHAnsi"/>
              </w:rPr>
            </w:pPr>
            <w:r>
              <w:t>0.00</w:t>
            </w:r>
          </w:p>
        </w:tc>
      </w:tr>
      <w:tr w:rsidR="00D73919" w:rsidRPr="006E67EA" w14:paraId="3BED9929" w14:textId="77777777" w:rsidTr="006E67EA">
        <w:trPr>
          <w:trHeight w:val="340"/>
          <w:jc w:val="center"/>
        </w:trPr>
        <w:tc>
          <w:tcPr>
            <w:tcW w:w="3681" w:type="dxa"/>
            <w:vAlign w:val="center"/>
          </w:tcPr>
          <w:p w14:paraId="1A30B61A" w14:textId="77777777" w:rsidR="00D73919" w:rsidRPr="006E67EA" w:rsidRDefault="00D73919" w:rsidP="00D73919">
            <w:pPr>
              <w:spacing w:after="0" w:line="240" w:lineRule="auto"/>
              <w:jc w:val="right"/>
              <w:rPr>
                <w:rFonts w:asciiTheme="minorHAnsi" w:hAnsiTheme="minorHAnsi" w:cstheme="minorHAnsi"/>
              </w:rPr>
            </w:pPr>
            <w:r w:rsidRPr="006E67EA">
              <w:rPr>
                <w:rFonts w:asciiTheme="minorHAnsi" w:hAnsiTheme="minorHAnsi" w:cstheme="minorHAnsi"/>
              </w:rPr>
              <w:t>Valoración final</w:t>
            </w:r>
          </w:p>
        </w:tc>
        <w:tc>
          <w:tcPr>
            <w:tcW w:w="123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9C6D531" w14:textId="7A039FDE" w:rsidR="00D73919" w:rsidRPr="006E67EA" w:rsidRDefault="00D73919" w:rsidP="00D73919">
            <w:pPr>
              <w:spacing w:after="0" w:line="240" w:lineRule="auto"/>
              <w:jc w:val="center"/>
              <w:rPr>
                <w:rFonts w:asciiTheme="minorHAnsi" w:hAnsiTheme="minorHAnsi" w:cstheme="minorHAnsi"/>
              </w:rPr>
            </w:pPr>
            <w:r>
              <w:t>1.07</w:t>
            </w:r>
          </w:p>
        </w:tc>
      </w:tr>
    </w:tbl>
    <w:p w14:paraId="39F36B56" w14:textId="6B22D287" w:rsidR="00A4624B" w:rsidRDefault="00A4624B" w:rsidP="00A4624B">
      <w:pPr>
        <w:spacing w:after="0" w:line="276" w:lineRule="auto"/>
        <w:ind w:left="284"/>
        <w:jc w:val="both"/>
        <w:rPr>
          <w:lang w:val="es-ES"/>
        </w:rPr>
      </w:pPr>
    </w:p>
    <w:p w14:paraId="31F36EB1" w14:textId="77777777" w:rsidR="00113BCD" w:rsidRDefault="00113BCD" w:rsidP="00A4624B">
      <w:pPr>
        <w:spacing w:after="0" w:line="276" w:lineRule="auto"/>
        <w:ind w:left="284"/>
        <w:jc w:val="both"/>
        <w:rPr>
          <w:lang w:val="es-ES"/>
        </w:rPr>
      </w:pPr>
    </w:p>
    <w:p w14:paraId="0DF0350C" w14:textId="77777777" w:rsidR="00D73919" w:rsidRDefault="00D73919">
      <w:r>
        <w:br w:type="page"/>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6F1B85FD" w:rsidR="00BB6D7C" w:rsidRDefault="00BB6D7C" w:rsidP="006F4B1F">
            <w:pPr>
              <w:pStyle w:val="Prrafodelista"/>
              <w:numPr>
                <w:ilvl w:val="1"/>
                <w:numId w:val="9"/>
              </w:numPr>
              <w:spacing w:after="0" w:line="276" w:lineRule="auto"/>
              <w:ind w:left="567"/>
              <w:rPr>
                <w:lang w:val="es-ES"/>
              </w:rPr>
            </w:pPr>
            <w:r w:rsidRPr="00BB6D7C">
              <w:rPr>
                <w:b/>
                <w:bCs/>
              </w:rPr>
              <w:lastRenderedPageBreak/>
              <w:t>Describir las recomendaciones de acuerdo a su relevancia:</w:t>
            </w:r>
          </w:p>
        </w:tc>
      </w:tr>
    </w:tbl>
    <w:p w14:paraId="65F01849" w14:textId="77777777" w:rsidR="00B966FC" w:rsidRDefault="00B966FC" w:rsidP="00B966FC">
      <w:pPr>
        <w:pStyle w:val="Prrafodelista"/>
        <w:numPr>
          <w:ilvl w:val="0"/>
          <w:numId w:val="2"/>
        </w:numPr>
        <w:spacing w:after="0" w:line="276" w:lineRule="auto"/>
        <w:jc w:val="both"/>
      </w:pPr>
      <w:r>
        <w:t>Establecer un instrumento que permita recabar información para medir el grado de satisfacción de la población atendida y sus resultados.</w:t>
      </w:r>
    </w:p>
    <w:p w14:paraId="46E08B20" w14:textId="77777777" w:rsidR="00B966FC" w:rsidRDefault="00B966FC" w:rsidP="00B966FC">
      <w:pPr>
        <w:pStyle w:val="Prrafodelista"/>
        <w:numPr>
          <w:ilvl w:val="0"/>
          <w:numId w:val="2"/>
        </w:numPr>
        <w:spacing w:after="0" w:line="276" w:lineRule="auto"/>
        <w:jc w:val="both"/>
      </w:pPr>
      <w:r>
        <w:t>Gestionar un medio donde se exhiban los resultados del programa, con el objetivo de promover la transparencia y rendición de cuentas (por ejemplo, sitio web oficial).</w:t>
      </w:r>
    </w:p>
    <w:p w14:paraId="2F4625F7" w14:textId="77777777" w:rsidR="00B966FC" w:rsidRDefault="00B966FC" w:rsidP="00B966FC">
      <w:pPr>
        <w:pStyle w:val="Prrafodelista"/>
        <w:numPr>
          <w:ilvl w:val="0"/>
          <w:numId w:val="2"/>
        </w:numPr>
        <w:spacing w:after="0" w:line="276" w:lineRule="auto"/>
        <w:jc w:val="both"/>
      </w:pPr>
      <w:r>
        <w:t>Realizan el Reglamento Orgánico de la COPACIS.</w:t>
      </w:r>
    </w:p>
    <w:p w14:paraId="312B3851" w14:textId="77777777" w:rsidR="00B966FC" w:rsidRDefault="00B966FC" w:rsidP="00B966FC">
      <w:pPr>
        <w:pStyle w:val="Prrafodelista"/>
        <w:numPr>
          <w:ilvl w:val="0"/>
          <w:numId w:val="2"/>
        </w:numPr>
        <w:spacing w:after="0" w:line="276" w:lineRule="auto"/>
        <w:jc w:val="both"/>
      </w:pPr>
      <w:r>
        <w:t>Llevar a cabo campañas de concientización sobre las comunidades indígenas del Estado y su importancia, para los ciudadanos en general, funcionarios estatales y gobiernos municipales.</w:t>
      </w:r>
    </w:p>
    <w:p w14:paraId="621C4F1E" w14:textId="77777777" w:rsidR="00B966FC" w:rsidRDefault="00B966FC" w:rsidP="00B966FC">
      <w:pPr>
        <w:pStyle w:val="Prrafodelista"/>
        <w:numPr>
          <w:ilvl w:val="0"/>
          <w:numId w:val="2"/>
        </w:numPr>
        <w:spacing w:after="0" w:line="276" w:lineRule="auto"/>
        <w:jc w:val="both"/>
      </w:pPr>
      <w:r>
        <w:t>Gestionar acciones para la conservación y preservación de las Lenguas Originarias del Estado.</w:t>
      </w:r>
    </w:p>
    <w:p w14:paraId="73142DFA" w14:textId="77777777" w:rsidR="00B966FC" w:rsidRDefault="00B966FC" w:rsidP="00B966FC">
      <w:pPr>
        <w:pStyle w:val="Prrafodelista"/>
        <w:numPr>
          <w:ilvl w:val="0"/>
          <w:numId w:val="2"/>
        </w:numPr>
        <w:spacing w:after="0" w:line="276" w:lineRule="auto"/>
        <w:jc w:val="both"/>
      </w:pPr>
      <w:r>
        <w:t>Acciones para la generación de oportunidades de empleo o de una actividad económica para evitar la migración de indígenas en los pueblos y comunidades indígenas.</w:t>
      </w:r>
    </w:p>
    <w:p w14:paraId="29B4703B" w14:textId="6834C83A" w:rsidR="006E67EA" w:rsidRPr="006E67EA" w:rsidRDefault="00B966FC" w:rsidP="00B966FC">
      <w:pPr>
        <w:pStyle w:val="Prrafodelista"/>
        <w:numPr>
          <w:ilvl w:val="0"/>
          <w:numId w:val="2"/>
        </w:numPr>
        <w:spacing w:after="0" w:line="276" w:lineRule="auto"/>
        <w:jc w:val="both"/>
      </w:pPr>
      <w:r>
        <w:t>Tener un plan de contingencia para hacer frente a la baja del presupuesto etiquetado para la COPACIS.</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BB6D7C" w14:paraId="5BAA9691" w14:textId="77777777" w:rsidTr="00090637">
        <w:trPr>
          <w:trHeight w:val="340"/>
        </w:trPr>
        <w:tc>
          <w:tcPr>
            <w:tcW w:w="9910" w:type="dxa"/>
            <w:tcBorders>
              <w:top w:val="nil"/>
              <w:left w:val="nil"/>
              <w:bottom w:val="nil"/>
              <w:right w:val="nil"/>
            </w:tcBorders>
            <w:shd w:val="clear" w:color="auto" w:fill="651D32"/>
            <w:vAlign w:val="center"/>
          </w:tcPr>
          <w:p w14:paraId="563C2029" w14:textId="77777777" w:rsidR="00BB6D7C" w:rsidRDefault="00BB6D7C" w:rsidP="006F4B1F">
            <w:pPr>
              <w:pStyle w:val="Prrafodelista"/>
              <w:numPr>
                <w:ilvl w:val="0"/>
                <w:numId w:val="4"/>
              </w:numPr>
              <w:spacing w:after="0" w:line="276" w:lineRule="auto"/>
            </w:pPr>
            <w:r w:rsidRPr="00BB6D7C">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133709"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7777777" w:rsidR="006C747D" w:rsidRPr="00133709" w:rsidRDefault="00133709" w:rsidP="00521401">
            <w:pPr>
              <w:spacing w:after="0" w:line="276" w:lineRule="auto"/>
              <w:ind w:left="179"/>
            </w:pPr>
            <w:r>
              <w:t xml:space="preserve">Jorge Alfredo </w:t>
            </w:r>
            <w:proofErr w:type="spellStart"/>
            <w:r>
              <w:t>Gameros</w:t>
            </w:r>
            <w:proofErr w:type="spellEnd"/>
            <w:r>
              <w:t xml:space="preserve"> Rojas</w:t>
            </w:r>
          </w:p>
        </w:tc>
      </w:tr>
      <w:tr w:rsidR="006C747D"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C747D" w:rsidRPr="006C747D" w:rsidRDefault="006C747D" w:rsidP="006F4B1F">
            <w:pPr>
              <w:pStyle w:val="Prrafodelista"/>
              <w:numPr>
                <w:ilvl w:val="1"/>
                <w:numId w:val="12"/>
              </w:numPr>
              <w:spacing w:after="0" w:line="276" w:lineRule="auto"/>
              <w:ind w:left="604"/>
              <w:rPr>
                <w:b/>
                <w:bCs/>
              </w:rPr>
            </w:pPr>
            <w:r w:rsidRPr="006C747D">
              <w:rPr>
                <w:b/>
                <w:bCs/>
              </w:rPr>
              <w:t>Cargo:</w:t>
            </w:r>
          </w:p>
        </w:tc>
      </w:tr>
      <w:tr w:rsidR="00133709"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C747D" w:rsidRPr="00133709" w:rsidRDefault="00133709" w:rsidP="00521401">
            <w:pPr>
              <w:spacing w:after="0" w:line="276" w:lineRule="auto"/>
              <w:ind w:left="179"/>
            </w:pPr>
            <w:r>
              <w:t>Director de Evaluación</w:t>
            </w:r>
          </w:p>
        </w:tc>
      </w:tr>
      <w:tr w:rsidR="006C747D"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C747D" w:rsidRPr="006C747D" w:rsidRDefault="006C747D" w:rsidP="006F4B1F">
            <w:pPr>
              <w:pStyle w:val="Prrafodelista"/>
              <w:numPr>
                <w:ilvl w:val="1"/>
                <w:numId w:val="12"/>
              </w:numPr>
              <w:spacing w:after="0" w:line="276" w:lineRule="auto"/>
              <w:ind w:left="604"/>
              <w:rPr>
                <w:b/>
                <w:bCs/>
              </w:rPr>
            </w:pPr>
            <w:r w:rsidRPr="006C747D">
              <w:rPr>
                <w:b/>
                <w:bCs/>
              </w:rPr>
              <w:t>Institución a la que Pertenece:</w:t>
            </w:r>
          </w:p>
        </w:tc>
      </w:tr>
      <w:tr w:rsidR="006C747D"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C747D" w:rsidRPr="00133709" w:rsidRDefault="00133709" w:rsidP="00521401">
            <w:pPr>
              <w:spacing w:after="0" w:line="276" w:lineRule="auto"/>
              <w:ind w:left="179"/>
            </w:pPr>
            <w:r>
              <w:t>Gobierno del Estado de Sinaloa</w:t>
            </w:r>
          </w:p>
        </w:tc>
      </w:tr>
      <w:tr w:rsidR="006C747D"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C747D" w:rsidRPr="006C747D" w:rsidRDefault="006C747D" w:rsidP="006F4B1F">
            <w:pPr>
              <w:pStyle w:val="Prrafodelista"/>
              <w:numPr>
                <w:ilvl w:val="1"/>
                <w:numId w:val="12"/>
              </w:numPr>
              <w:spacing w:after="0" w:line="276" w:lineRule="auto"/>
              <w:ind w:left="604"/>
              <w:rPr>
                <w:b/>
                <w:bCs/>
              </w:rPr>
            </w:pPr>
            <w:r w:rsidRPr="006C747D">
              <w:rPr>
                <w:b/>
                <w:bCs/>
              </w:rPr>
              <w:t>Principales Colaboradores:</w:t>
            </w:r>
          </w:p>
        </w:tc>
      </w:tr>
      <w:tr w:rsidR="006C747D"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C747D" w:rsidRPr="00133709" w:rsidRDefault="00133709" w:rsidP="00521401">
            <w:pPr>
              <w:spacing w:after="0" w:line="276" w:lineRule="auto"/>
              <w:ind w:left="179"/>
            </w:pPr>
            <w:r>
              <w:t>Brenda Paola Torres González</w:t>
            </w:r>
          </w:p>
        </w:tc>
      </w:tr>
      <w:tr w:rsidR="006C747D"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C747D" w:rsidRPr="006C747D" w:rsidRDefault="006C747D" w:rsidP="006F4B1F">
            <w:pPr>
              <w:pStyle w:val="Prrafodelista"/>
              <w:numPr>
                <w:ilvl w:val="1"/>
                <w:numId w:val="12"/>
              </w:numPr>
              <w:spacing w:after="0" w:line="276" w:lineRule="auto"/>
              <w:ind w:left="604"/>
              <w:rPr>
                <w:b/>
                <w:bCs/>
              </w:rPr>
            </w:pPr>
            <w:r w:rsidRPr="006C747D">
              <w:rPr>
                <w:b/>
                <w:bCs/>
              </w:rPr>
              <w:t>Correo Electrónico del Coordinador de la Evaluación:</w:t>
            </w:r>
          </w:p>
        </w:tc>
      </w:tr>
      <w:tr w:rsidR="006C747D"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7777777" w:rsidR="006C747D" w:rsidRPr="00133709" w:rsidRDefault="00133709" w:rsidP="00521401">
            <w:pPr>
              <w:spacing w:after="0" w:line="276" w:lineRule="auto"/>
              <w:ind w:left="179"/>
            </w:pPr>
            <w:r>
              <w:t>jorge.gameros@sinaloa.gob.mx</w:t>
            </w:r>
          </w:p>
        </w:tc>
      </w:tr>
      <w:tr w:rsidR="006C747D"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C747D" w:rsidRPr="006C747D" w:rsidRDefault="006C747D" w:rsidP="006F4B1F">
            <w:pPr>
              <w:pStyle w:val="Prrafodelista"/>
              <w:numPr>
                <w:ilvl w:val="1"/>
                <w:numId w:val="12"/>
              </w:numPr>
              <w:spacing w:after="0" w:line="276" w:lineRule="auto"/>
              <w:ind w:left="604"/>
              <w:rPr>
                <w:b/>
                <w:bCs/>
              </w:rPr>
            </w:pPr>
            <w:r w:rsidRPr="006C747D">
              <w:rPr>
                <w:b/>
                <w:bCs/>
              </w:rPr>
              <w:t>Teléfono:</w:t>
            </w:r>
          </w:p>
        </w:tc>
      </w:tr>
      <w:tr w:rsidR="006C747D"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C747D" w:rsidRPr="00133709" w:rsidRDefault="006C747D" w:rsidP="00521401">
            <w:pPr>
              <w:spacing w:after="0" w:line="276" w:lineRule="auto"/>
              <w:ind w:left="179"/>
            </w:pPr>
            <w:r w:rsidRPr="007301C5">
              <w:t>(667)</w:t>
            </w:r>
            <w:r w:rsidR="00133709">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7C4CD6" w14:paraId="449405D2" w14:textId="77777777" w:rsidTr="00090637">
        <w:trPr>
          <w:trHeight w:val="340"/>
        </w:trPr>
        <w:tc>
          <w:tcPr>
            <w:tcW w:w="9910" w:type="dxa"/>
            <w:gridSpan w:val="4"/>
            <w:shd w:val="clear" w:color="auto" w:fill="651D32"/>
            <w:vAlign w:val="center"/>
          </w:tcPr>
          <w:p w14:paraId="57932F8D" w14:textId="77777777" w:rsidR="007C4CD6" w:rsidRDefault="007C4CD6" w:rsidP="006F4B1F">
            <w:pPr>
              <w:pStyle w:val="Prrafodelista"/>
              <w:numPr>
                <w:ilvl w:val="0"/>
                <w:numId w:val="4"/>
              </w:numPr>
              <w:spacing w:after="0" w:line="276" w:lineRule="auto"/>
            </w:pPr>
            <w:r w:rsidRPr="00BA4A59">
              <w:rPr>
                <w:rFonts w:eastAsia="Times New Roman"/>
                <w:b/>
                <w:color w:val="FFFFFF"/>
                <w:lang w:eastAsia="es-MX"/>
              </w:rPr>
              <w:t>Identificación del (os) Programa(</w:t>
            </w:r>
            <w:r>
              <w:rPr>
                <w:rFonts w:eastAsia="Times New Roman"/>
                <w:b/>
                <w:color w:val="FFFFFF"/>
                <w:lang w:eastAsia="es-MX"/>
              </w:rPr>
              <w:t>s</w:t>
            </w:r>
            <w:r w:rsidRPr="00BA4A59">
              <w:rPr>
                <w:rFonts w:eastAsia="Times New Roman"/>
                <w:b/>
                <w:color w:val="FFFFFF"/>
                <w:lang w:eastAsia="es-MX"/>
              </w:rPr>
              <w:t>)</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38A534EC" w:rsidR="007C4CD6" w:rsidRPr="00521401" w:rsidRDefault="00CC56BF" w:rsidP="00521401">
            <w:pPr>
              <w:spacing w:after="0" w:line="276" w:lineRule="auto"/>
              <w:ind w:left="179"/>
            </w:pPr>
            <w:r>
              <w:t>Desarrollo de las Comunidades Indígenas Sinaloenses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CC56BF" w14:paraId="1F10A1A2" w14:textId="77777777" w:rsidTr="00EA460E">
        <w:trPr>
          <w:trHeight w:val="340"/>
        </w:trPr>
        <w:tc>
          <w:tcPr>
            <w:tcW w:w="9910" w:type="dxa"/>
            <w:gridSpan w:val="4"/>
            <w:shd w:val="clear" w:color="auto" w:fill="auto"/>
            <w:vAlign w:val="center"/>
          </w:tcPr>
          <w:p w14:paraId="0850CE8D" w14:textId="3EBF417F" w:rsidR="00CC56BF" w:rsidRPr="007C4CD6" w:rsidRDefault="00CC56BF" w:rsidP="00CC56BF">
            <w:pPr>
              <w:spacing w:after="0" w:line="276" w:lineRule="auto"/>
              <w:ind w:left="179"/>
            </w:pPr>
            <w:r>
              <w:t>Desarrollo de las Comunidades Indígenas Sinaloenses</w:t>
            </w:r>
          </w:p>
        </w:tc>
      </w:tr>
      <w:tr w:rsidR="00CC56BF"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CC56BF" w:rsidRPr="007C4CD6" w:rsidRDefault="00CC56BF" w:rsidP="00CC56B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CC56BF" w14:paraId="0777E431" w14:textId="77777777" w:rsidTr="0008479E">
        <w:trPr>
          <w:trHeight w:val="340"/>
        </w:trPr>
        <w:tc>
          <w:tcPr>
            <w:tcW w:w="9910" w:type="dxa"/>
            <w:gridSpan w:val="4"/>
            <w:shd w:val="clear" w:color="auto" w:fill="auto"/>
            <w:vAlign w:val="center"/>
          </w:tcPr>
          <w:p w14:paraId="7D53808F" w14:textId="3F1D8E5A" w:rsidR="00CC56BF" w:rsidRPr="007C4CD6" w:rsidRDefault="00CC56BF" w:rsidP="00CC56BF">
            <w:pPr>
              <w:spacing w:after="0" w:line="276" w:lineRule="auto"/>
              <w:ind w:left="179"/>
            </w:pPr>
            <w:r>
              <w:t>Comisión para la Atención de las Comunidades Indígenas de Sinaloa</w:t>
            </w:r>
          </w:p>
        </w:tc>
      </w:tr>
      <w:tr w:rsidR="00CC56BF"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CC56BF" w:rsidRPr="007C4CD6" w:rsidRDefault="00CC56BF" w:rsidP="00CC56B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CC56BF"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CC56BF" w:rsidRPr="005A28B9" w:rsidRDefault="00CC56BF" w:rsidP="00CC56BF">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CC56BF" w:rsidRPr="005A28B9" w:rsidRDefault="00CC56BF" w:rsidP="00CC56BF">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CC56BF" w:rsidRPr="005A28B9" w:rsidRDefault="00CC56BF" w:rsidP="00CC56BF">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CC56BF" w:rsidRPr="005A28B9" w:rsidRDefault="00CC56BF" w:rsidP="00CC56BF">
            <w:pPr>
              <w:spacing w:after="0" w:line="276" w:lineRule="auto"/>
              <w:jc w:val="center"/>
              <w:rPr>
                <w:b/>
                <w:bCs/>
              </w:rPr>
            </w:pPr>
            <w:r w:rsidRPr="005A28B9">
              <w:rPr>
                <w:b/>
                <w:bCs/>
              </w:rPr>
              <w:t>Ente Autónomo:</w:t>
            </w:r>
          </w:p>
        </w:tc>
      </w:tr>
      <w:tr w:rsidR="00CC56BF" w14:paraId="065D360B" w14:textId="77777777" w:rsidTr="00EA460E">
        <w:trPr>
          <w:trHeight w:val="340"/>
        </w:trPr>
        <w:tc>
          <w:tcPr>
            <w:tcW w:w="2405" w:type="dxa"/>
            <w:shd w:val="clear" w:color="auto" w:fill="auto"/>
            <w:vAlign w:val="center"/>
          </w:tcPr>
          <w:p w14:paraId="43D369B0" w14:textId="39200691" w:rsidR="00CC56BF" w:rsidRPr="00A16BE7" w:rsidRDefault="00CC56BF" w:rsidP="00CC56BF">
            <w:pPr>
              <w:spacing w:after="0" w:line="276" w:lineRule="auto"/>
              <w:jc w:val="center"/>
            </w:pPr>
            <w:r>
              <w:t>X</w:t>
            </w:r>
          </w:p>
        </w:tc>
        <w:tc>
          <w:tcPr>
            <w:tcW w:w="2410" w:type="dxa"/>
            <w:shd w:val="clear" w:color="auto" w:fill="auto"/>
            <w:vAlign w:val="center"/>
          </w:tcPr>
          <w:p w14:paraId="208A5616" w14:textId="4F6A786F" w:rsidR="00CC56BF" w:rsidRPr="00A16BE7" w:rsidRDefault="00CC56BF" w:rsidP="00CC56BF">
            <w:pPr>
              <w:spacing w:after="0" w:line="276" w:lineRule="auto"/>
              <w:jc w:val="center"/>
            </w:pPr>
          </w:p>
        </w:tc>
        <w:tc>
          <w:tcPr>
            <w:tcW w:w="2551" w:type="dxa"/>
            <w:shd w:val="clear" w:color="auto" w:fill="auto"/>
            <w:vAlign w:val="center"/>
          </w:tcPr>
          <w:p w14:paraId="761558F7" w14:textId="77777777" w:rsidR="00CC56BF" w:rsidRPr="00A16BE7" w:rsidRDefault="00CC56BF" w:rsidP="00CC56BF">
            <w:pPr>
              <w:spacing w:after="0" w:line="276" w:lineRule="auto"/>
              <w:jc w:val="center"/>
            </w:pPr>
          </w:p>
        </w:tc>
        <w:tc>
          <w:tcPr>
            <w:tcW w:w="2544" w:type="dxa"/>
            <w:shd w:val="clear" w:color="auto" w:fill="auto"/>
            <w:vAlign w:val="center"/>
          </w:tcPr>
          <w:p w14:paraId="2C02E6CE" w14:textId="77777777" w:rsidR="00CC56BF" w:rsidRPr="00A16BE7" w:rsidRDefault="00CC56BF" w:rsidP="00CC56BF">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lastRenderedPageBreak/>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14727046" w:rsidR="00090637" w:rsidRPr="00D913D9" w:rsidRDefault="00090637" w:rsidP="00287214">
            <w:pPr>
              <w:spacing w:after="0" w:line="276" w:lineRule="auto"/>
              <w:jc w:val="center"/>
              <w:rPr>
                <w:bCs/>
              </w:rPr>
            </w:pPr>
          </w:p>
        </w:tc>
        <w:tc>
          <w:tcPr>
            <w:tcW w:w="3402" w:type="dxa"/>
            <w:shd w:val="clear" w:color="auto" w:fill="auto"/>
            <w:vAlign w:val="center"/>
          </w:tcPr>
          <w:p w14:paraId="117D875F" w14:textId="6B585576" w:rsidR="00090637" w:rsidRPr="00090637" w:rsidRDefault="00CC56BF"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rsidRPr="00860D96" w14:paraId="216FE23E" w14:textId="77777777" w:rsidTr="00B81100">
        <w:trPr>
          <w:trHeight w:val="340"/>
        </w:trPr>
        <w:tc>
          <w:tcPr>
            <w:tcW w:w="9910" w:type="dxa"/>
            <w:gridSpan w:val="3"/>
            <w:shd w:val="clear" w:color="auto" w:fill="auto"/>
          </w:tcPr>
          <w:p w14:paraId="7091B8EA" w14:textId="647F8234" w:rsidR="005065B9" w:rsidRPr="00860D96" w:rsidRDefault="00CC56BF" w:rsidP="00CC56BF">
            <w:pPr>
              <w:spacing w:after="0" w:line="276" w:lineRule="auto"/>
              <w:ind w:left="179"/>
            </w:pPr>
            <w:r w:rsidRPr="00860D96">
              <w:t>Lic. Cresencio Ramírez Sánchez</w:t>
            </w:r>
          </w:p>
        </w:tc>
      </w:tr>
      <w:tr w:rsidR="00925C75" w:rsidRPr="00860D96"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860D96" w:rsidRDefault="00925C75" w:rsidP="006F4B1F">
            <w:pPr>
              <w:pStyle w:val="Prrafodelista"/>
              <w:numPr>
                <w:ilvl w:val="2"/>
                <w:numId w:val="14"/>
              </w:numPr>
              <w:spacing w:after="0" w:line="276" w:lineRule="auto"/>
              <w:ind w:left="981" w:hanging="624"/>
              <w:rPr>
                <w:rFonts w:eastAsia="Times New Roman"/>
                <w:b/>
                <w:color w:val="000000"/>
                <w:lang w:eastAsia="es-MX"/>
              </w:rPr>
            </w:pPr>
            <w:r w:rsidRPr="00860D96">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69AE33F6" w:rsidR="00A4624B" w:rsidRPr="007301C5" w:rsidRDefault="00CC56BF" w:rsidP="00CC56BF">
            <w:pPr>
              <w:spacing w:after="0" w:line="276" w:lineRule="auto"/>
              <w:ind w:left="179"/>
            </w:pPr>
            <w:r w:rsidRPr="00860D96">
              <w:t>ramirezcresencio@hotmail.com</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CC56BF" w14:paraId="3C5D9DC6" w14:textId="77777777" w:rsidTr="003A753F">
        <w:trPr>
          <w:trHeight w:val="340"/>
        </w:trPr>
        <w:tc>
          <w:tcPr>
            <w:tcW w:w="9910" w:type="dxa"/>
            <w:gridSpan w:val="3"/>
            <w:shd w:val="clear" w:color="auto" w:fill="auto"/>
            <w:vAlign w:val="center"/>
          </w:tcPr>
          <w:p w14:paraId="138DA773" w14:textId="568380BB" w:rsidR="00CC56BF" w:rsidRPr="007301C5" w:rsidRDefault="00CC56BF" w:rsidP="00CC56BF">
            <w:pPr>
              <w:spacing w:after="0" w:line="276" w:lineRule="auto"/>
              <w:ind w:left="179"/>
            </w:pPr>
            <w:r>
              <w:t>Comisión para la Atención de las Comunidades Indígenas de Sinaloa (COPACIS)</w:t>
            </w:r>
          </w:p>
        </w:tc>
      </w:tr>
      <w:tr w:rsidR="00CC56BF"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CC56BF" w:rsidRPr="00A753A2" w:rsidRDefault="00CC56BF" w:rsidP="00CC56B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CC56BF" w14:paraId="49F6EF2F" w14:textId="77777777" w:rsidTr="00BF400F">
        <w:trPr>
          <w:trHeight w:val="340"/>
        </w:trPr>
        <w:tc>
          <w:tcPr>
            <w:tcW w:w="9910" w:type="dxa"/>
            <w:gridSpan w:val="3"/>
            <w:shd w:val="clear" w:color="auto" w:fill="auto"/>
          </w:tcPr>
          <w:p w14:paraId="6F19C066" w14:textId="1398D7D0" w:rsidR="00CC56BF" w:rsidRPr="007301C5" w:rsidRDefault="00CC56BF" w:rsidP="00CC56BF">
            <w:pPr>
              <w:spacing w:after="0" w:line="276" w:lineRule="auto"/>
              <w:ind w:left="179"/>
            </w:pPr>
            <w:r w:rsidRPr="00860D96">
              <w:t>(667) 714 68 98</w:t>
            </w:r>
            <w:bookmarkStart w:id="0" w:name="_GoBack"/>
            <w:bookmarkEnd w:id="0"/>
          </w:p>
        </w:tc>
      </w:tr>
    </w:tbl>
    <w:p w14:paraId="2142A7BB" w14:textId="03D6C696" w:rsidR="006F5149" w:rsidRDefault="006F5149" w:rsidP="00090637">
      <w:pPr>
        <w:spacing w:after="0" w:line="276" w:lineRule="auto"/>
        <w:jc w:val="both"/>
        <w:rPr>
          <w:lang w:val="es-ES"/>
        </w:rPr>
      </w:pPr>
    </w:p>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090637" w14:paraId="732B5D37" w14:textId="77777777" w:rsidTr="00C61D21">
        <w:trPr>
          <w:trHeight w:val="340"/>
        </w:trPr>
        <w:tc>
          <w:tcPr>
            <w:tcW w:w="9910" w:type="dxa"/>
            <w:gridSpan w:val="4"/>
            <w:shd w:val="clear" w:color="auto" w:fill="651D32"/>
            <w:vAlign w:val="center"/>
          </w:tcPr>
          <w:p w14:paraId="1529799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77777777" w:rsidR="00090637" w:rsidRPr="00866990" w:rsidRDefault="00090637" w:rsidP="00521401">
            <w:pPr>
              <w:spacing w:after="0" w:line="276" w:lineRule="auto"/>
              <w:ind w:left="179"/>
            </w:pP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7777777" w:rsidR="00090637" w:rsidRPr="00866990" w:rsidRDefault="00C61D21" w:rsidP="00521401">
            <w:pPr>
              <w:spacing w:after="0" w:line="276" w:lineRule="auto"/>
              <w:ind w:left="179"/>
            </w:pPr>
            <w:r w:rsidRPr="00866990">
              <w:t>$</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7777777" w:rsidR="004C435E" w:rsidRPr="00866990" w:rsidRDefault="004C435E" w:rsidP="004C435E">
            <w:pPr>
              <w:spacing w:after="0" w:line="276" w:lineRule="auto"/>
              <w:ind w:left="179"/>
            </w:pPr>
          </w:p>
        </w:tc>
      </w:tr>
      <w:tr w:rsidR="00090637" w14:paraId="2A1035F1" w14:textId="77777777" w:rsidTr="00C61D21">
        <w:trPr>
          <w:trHeight w:val="340"/>
        </w:trPr>
        <w:tc>
          <w:tcPr>
            <w:tcW w:w="9910" w:type="dxa"/>
            <w:gridSpan w:val="4"/>
            <w:shd w:val="clear" w:color="auto" w:fill="auto"/>
            <w:vAlign w:val="center"/>
          </w:tcPr>
          <w:p w14:paraId="1A46D2C3" w14:textId="77777777" w:rsidR="004C435E" w:rsidRPr="00866990" w:rsidRDefault="004C435E" w:rsidP="000D2A1A">
            <w:pPr>
              <w:spacing w:after="0" w:line="276" w:lineRule="auto"/>
            </w:pPr>
          </w:p>
        </w:tc>
      </w:tr>
      <w:tr w:rsidR="00090637" w14:paraId="48B7EE0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651D32"/>
            <w:vAlign w:val="center"/>
          </w:tcPr>
          <w:p w14:paraId="4AF233BE" w14:textId="77777777" w:rsidR="00090637" w:rsidRPr="00866990" w:rsidRDefault="00090637" w:rsidP="006F4B1F">
            <w:pPr>
              <w:pStyle w:val="Prrafodelista"/>
              <w:numPr>
                <w:ilvl w:val="0"/>
                <w:numId w:val="4"/>
              </w:numPr>
              <w:spacing w:after="0" w:line="276" w:lineRule="auto"/>
            </w:pPr>
            <w:r w:rsidRPr="00866990">
              <w:rPr>
                <w:b/>
                <w:bCs/>
                <w:color w:val="FFFFFF" w:themeColor="background1"/>
              </w:rPr>
              <w:t>D</w:t>
            </w:r>
            <w:r w:rsidR="007D00B1" w:rsidRPr="00866990">
              <w:rPr>
                <w:b/>
                <w:bCs/>
                <w:color w:val="FFFFFF" w:themeColor="background1"/>
              </w:rPr>
              <w:t>ifusión de la Evaluación</w:t>
            </w:r>
          </w:p>
        </w:tc>
      </w:tr>
      <w:tr w:rsidR="00090637" w:rsidRPr="006C747D" w14:paraId="66E708FB"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9910" w:type="dxa"/>
            <w:gridSpan w:val="4"/>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090637">
      <w:pPr>
        <w:spacing w:after="0" w:line="276" w:lineRule="auto"/>
        <w:jc w:val="both"/>
        <w:rPr>
          <w:lang w:val="es-ES"/>
        </w:rPr>
      </w:pPr>
    </w:p>
    <w:sectPr w:rsidR="00090637" w:rsidRPr="00AF2993" w:rsidSect="006047A9">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8472" w14:textId="77777777" w:rsidR="00790C50" w:rsidRDefault="00790C50" w:rsidP="008E5209">
      <w:pPr>
        <w:spacing w:after="0" w:line="240" w:lineRule="auto"/>
      </w:pPr>
      <w:r>
        <w:separator/>
      </w:r>
    </w:p>
  </w:endnote>
  <w:endnote w:type="continuationSeparator" w:id="0">
    <w:p w14:paraId="411F266A" w14:textId="77777777" w:rsidR="00790C50" w:rsidRDefault="00790C50"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477E9A75"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860D96">
          <w:rPr>
            <w:b/>
            <w:bCs/>
            <w:noProof/>
            <w:sz w:val="18"/>
            <w:szCs w:val="18"/>
          </w:rPr>
          <w:t>7</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189E74CE"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860D96" w:rsidRPr="00860D96">
          <w:rPr>
            <w:b/>
            <w:bCs/>
            <w:noProof/>
            <w:sz w:val="18"/>
            <w:szCs w:val="18"/>
            <w:lang w:val="es-ES"/>
          </w:rPr>
          <w:t>2</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8D8C1" w14:textId="77777777" w:rsidR="00790C50" w:rsidRDefault="00790C50" w:rsidP="008E5209">
      <w:pPr>
        <w:spacing w:after="0" w:line="240" w:lineRule="auto"/>
      </w:pPr>
      <w:r>
        <w:separator/>
      </w:r>
    </w:p>
  </w:footnote>
  <w:footnote w:type="continuationSeparator" w:id="0">
    <w:p w14:paraId="00FE62BE" w14:textId="77777777" w:rsidR="00790C50" w:rsidRDefault="00790C50"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Default="0008479E" w:rsidP="0008479E">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A65C5E">
      <w:rPr>
        <w:rFonts w:ascii="Medium" w:hAnsi="Medium" w:cs="Arial"/>
        <w:b/>
        <w:color w:val="651D32"/>
        <w:sz w:val="26"/>
        <w:szCs w:val="26"/>
      </w:rPr>
      <w:t xml:space="preserve">Formato para la Difusión de los Resultados de la Evaluación del </w:t>
    </w:r>
    <w:r>
      <w:rPr>
        <w:rFonts w:ascii="Medium" w:hAnsi="Medium" w:cs="Arial"/>
        <w:b/>
        <w:color w:val="651D32"/>
        <w:sz w:val="26"/>
        <w:szCs w:val="26"/>
      </w:rPr>
      <w:t>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Default="006047A9" w:rsidP="0085511A">
    <w:pPr>
      <w:ind w:left="3828"/>
      <w:jc w:val="right"/>
      <w:rPr>
        <w:rFonts w:ascii="Medium" w:hAnsi="Medium" w:cs="Arial"/>
        <w:b/>
        <w:color w:val="651D32"/>
        <w:sz w:val="26"/>
        <w:szCs w:val="26"/>
      </w:rPr>
    </w:pPr>
    <w:r>
      <w:rPr>
        <w:rFonts w:ascii="Medium" w:hAnsi="Medium" w:cs="Arial"/>
        <w:b/>
        <w:noProof/>
        <w:color w:val="651D32"/>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A65C5E">
      <w:rPr>
        <w:rFonts w:ascii="Medium" w:hAnsi="Medium" w:cs="Arial"/>
        <w:b/>
        <w:color w:val="651D32"/>
        <w:sz w:val="26"/>
        <w:szCs w:val="26"/>
      </w:rPr>
      <w:t>Formato para la Difusión de los Resultados de la Evaluaci</w:t>
    </w:r>
    <w:r w:rsidR="002272AA" w:rsidRPr="00A65C5E">
      <w:rPr>
        <w:rFonts w:ascii="Medium" w:hAnsi="Medium" w:cs="Arial"/>
        <w:b/>
        <w:color w:val="651D32"/>
        <w:sz w:val="26"/>
        <w:szCs w:val="26"/>
      </w:rPr>
      <w:t xml:space="preserve">ón del </w:t>
    </w:r>
    <w:r w:rsidR="00A65C5E">
      <w:rPr>
        <w:rFonts w:ascii="Medium" w:hAnsi="Medium" w:cs="Arial"/>
        <w:b/>
        <w:color w:val="651D32"/>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65pt;height:595.65pt" o:bullet="t">
        <v:imagedata r:id="rId1" o:title="03"/>
      </v:shape>
    </w:pict>
  </w:numPicBullet>
  <w:numPicBullet w:numPicBulletId="1">
    <w:pict>
      <v:shape id="_x0000_i1027" type="#_x0000_t75" style="width:282.4pt;height:297.35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0C6C3385"/>
    <w:multiLevelType w:val="hybridMultilevel"/>
    <w:tmpl w:val="4A22611E"/>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1D00CA9"/>
    <w:multiLevelType w:val="multilevel"/>
    <w:tmpl w:val="080A001F"/>
    <w:numStyleLink w:val="Estilo1"/>
  </w:abstractNum>
  <w:abstractNum w:abstractNumId="4"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5"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6"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7"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9"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2"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8"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75D6646"/>
    <w:multiLevelType w:val="hybridMultilevel"/>
    <w:tmpl w:val="A5E49C3A"/>
    <w:lvl w:ilvl="0" w:tplc="080A0005">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4"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5" w15:restartNumberingAfterBreak="0">
    <w:nsid w:val="694412DD"/>
    <w:multiLevelType w:val="hybridMultilevel"/>
    <w:tmpl w:val="BE02D3C4"/>
    <w:lvl w:ilvl="0" w:tplc="9C3AC328">
      <w:start w:val="1"/>
      <w:numFmt w:val="bullet"/>
      <w:lvlText w:val=""/>
      <w:lvlPicBulletId w:val="1"/>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3C4206"/>
    <w:multiLevelType w:val="hybridMultilevel"/>
    <w:tmpl w:val="5BC2ABCC"/>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2"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3" w15:restartNumberingAfterBreak="0">
    <w:nsid w:val="7847116D"/>
    <w:multiLevelType w:val="hybridMultilevel"/>
    <w:tmpl w:val="4880D4A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4"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6"/>
  </w:num>
  <w:num w:numId="2">
    <w:abstractNumId w:val="23"/>
  </w:num>
  <w:num w:numId="3">
    <w:abstractNumId w:val="8"/>
  </w:num>
  <w:num w:numId="4">
    <w:abstractNumId w:val="20"/>
  </w:num>
  <w:num w:numId="5">
    <w:abstractNumId w:val="3"/>
  </w:num>
  <w:num w:numId="6">
    <w:abstractNumId w:val="30"/>
  </w:num>
  <w:num w:numId="7">
    <w:abstractNumId w:val="32"/>
  </w:num>
  <w:num w:numId="8">
    <w:abstractNumId w:val="34"/>
  </w:num>
  <w:num w:numId="9">
    <w:abstractNumId w:val="22"/>
  </w:num>
  <w:num w:numId="10">
    <w:abstractNumId w:val="13"/>
  </w:num>
  <w:num w:numId="11">
    <w:abstractNumId w:val="15"/>
  </w:num>
  <w:num w:numId="12">
    <w:abstractNumId w:val="29"/>
  </w:num>
  <w:num w:numId="13">
    <w:abstractNumId w:val="28"/>
  </w:num>
  <w:num w:numId="14">
    <w:abstractNumId w:val="24"/>
  </w:num>
  <w:num w:numId="15">
    <w:abstractNumId w:val="17"/>
  </w:num>
  <w:num w:numId="16">
    <w:abstractNumId w:val="5"/>
  </w:num>
  <w:num w:numId="17">
    <w:abstractNumId w:val="7"/>
  </w:num>
  <w:num w:numId="18">
    <w:abstractNumId w:val="18"/>
  </w:num>
  <w:num w:numId="19">
    <w:abstractNumId w:val="16"/>
  </w:num>
  <w:num w:numId="20">
    <w:abstractNumId w:val="6"/>
  </w:num>
  <w:num w:numId="21">
    <w:abstractNumId w:val="4"/>
  </w:num>
  <w:num w:numId="22">
    <w:abstractNumId w:val="14"/>
  </w:num>
  <w:num w:numId="23">
    <w:abstractNumId w:val="27"/>
  </w:num>
  <w:num w:numId="24">
    <w:abstractNumId w:val="12"/>
  </w:num>
  <w:num w:numId="25">
    <w:abstractNumId w:val="19"/>
  </w:num>
  <w:num w:numId="26">
    <w:abstractNumId w:val="9"/>
  </w:num>
  <w:num w:numId="27">
    <w:abstractNumId w:val="11"/>
  </w:num>
  <w:num w:numId="28">
    <w:abstractNumId w:val="0"/>
  </w:num>
  <w:num w:numId="29">
    <w:abstractNumId w:val="10"/>
  </w:num>
  <w:num w:numId="30">
    <w:abstractNumId w:val="1"/>
  </w:num>
  <w:num w:numId="31">
    <w:abstractNumId w:val="25"/>
  </w:num>
  <w:num w:numId="32">
    <w:abstractNumId w:val="21"/>
  </w:num>
  <w:num w:numId="33">
    <w:abstractNumId w:val="31"/>
  </w:num>
  <w:num w:numId="34">
    <w:abstractNumId w:val="2"/>
  </w:num>
  <w:num w:numId="35">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D1AFC"/>
    <w:rsid w:val="002D3EA7"/>
    <w:rsid w:val="002D457E"/>
    <w:rsid w:val="002D46AD"/>
    <w:rsid w:val="002E1A84"/>
    <w:rsid w:val="002E3980"/>
    <w:rsid w:val="002E4405"/>
    <w:rsid w:val="002E6DAC"/>
    <w:rsid w:val="002F378E"/>
    <w:rsid w:val="003139E9"/>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D2C11"/>
    <w:rsid w:val="005E2E2D"/>
    <w:rsid w:val="005E44FA"/>
    <w:rsid w:val="005F33CC"/>
    <w:rsid w:val="005F575E"/>
    <w:rsid w:val="006005B6"/>
    <w:rsid w:val="00601986"/>
    <w:rsid w:val="006021CF"/>
    <w:rsid w:val="00602B50"/>
    <w:rsid w:val="00603771"/>
    <w:rsid w:val="006047A9"/>
    <w:rsid w:val="00607334"/>
    <w:rsid w:val="006077C2"/>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D96"/>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55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966FC"/>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56BF"/>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919"/>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1086806">
      <w:bodyDiv w:val="1"/>
      <w:marLeft w:val="0"/>
      <w:marRight w:val="0"/>
      <w:marTop w:val="0"/>
      <w:marBottom w:val="0"/>
      <w:divBdr>
        <w:top w:val="none" w:sz="0" w:space="0" w:color="auto"/>
        <w:left w:val="none" w:sz="0" w:space="0" w:color="auto"/>
        <w:bottom w:val="none" w:sz="0" w:space="0" w:color="auto"/>
        <w:right w:val="none" w:sz="0" w:space="0" w:color="auto"/>
      </w:divBdr>
      <w:divsChild>
        <w:div w:id="392239437">
          <w:marLeft w:val="0"/>
          <w:marRight w:val="0"/>
          <w:marTop w:val="0"/>
          <w:marBottom w:val="0"/>
          <w:divBdr>
            <w:top w:val="none" w:sz="0" w:space="0" w:color="auto"/>
            <w:left w:val="none" w:sz="0" w:space="0" w:color="auto"/>
            <w:bottom w:val="none" w:sz="0" w:space="0" w:color="auto"/>
            <w:right w:val="none" w:sz="0" w:space="0" w:color="auto"/>
          </w:divBdr>
          <w:divsChild>
            <w:div w:id="75714476">
              <w:marLeft w:val="0"/>
              <w:marRight w:val="0"/>
              <w:marTop w:val="0"/>
              <w:marBottom w:val="0"/>
              <w:divBdr>
                <w:top w:val="none" w:sz="0" w:space="0" w:color="auto"/>
                <w:left w:val="none" w:sz="0" w:space="0" w:color="auto"/>
                <w:bottom w:val="none" w:sz="0" w:space="0" w:color="auto"/>
                <w:right w:val="none" w:sz="0" w:space="0" w:color="auto"/>
              </w:divBdr>
              <w:divsChild>
                <w:div w:id="188713649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25D5C-C27B-4CAC-AEF5-ABA7F461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Template>
  <TotalTime>21</TotalTime>
  <Pages>7</Pages>
  <Words>2438</Words>
  <Characters>13414</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Lenovo</cp:lastModifiedBy>
  <cp:revision>8</cp:revision>
  <cp:lastPrinted>2022-06-17T19:35:00Z</cp:lastPrinted>
  <dcterms:created xsi:type="dcterms:W3CDTF">2022-12-09T19:52:00Z</dcterms:created>
  <dcterms:modified xsi:type="dcterms:W3CDTF">2022-12-12T21:16:00Z</dcterms:modified>
</cp:coreProperties>
</file>